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b w:val="0"/>
          <w:bCs/>
          <w:sz w:val="32"/>
          <w:szCs w:val="32"/>
          <w:lang w:val="en-US" w:eastAsia="zh-CN"/>
        </w:rPr>
      </w:pPr>
      <w:r>
        <w:rPr>
          <w:rFonts w:hint="eastAsia" w:ascii="黑体" w:hAnsi="黑体" w:eastAsia="黑体"/>
          <w:b w:val="0"/>
          <w:bCs/>
          <w:sz w:val="32"/>
          <w:szCs w:val="32"/>
          <w:lang w:val="en-US" w:eastAsia="zh-CN"/>
        </w:rPr>
        <w:t>根植新田园 注入新活力</w:t>
      </w:r>
    </w:p>
    <w:p>
      <w:pPr>
        <w:spacing w:line="360" w:lineRule="auto"/>
        <w:jc w:val="center"/>
        <w:rPr>
          <w:rFonts w:hint="eastAsia" w:ascii="黑体" w:hAnsi="黑体" w:eastAsia="黑体"/>
          <w:bCs/>
          <w:sz w:val="24"/>
        </w:rPr>
      </w:pPr>
      <w:r>
        <w:rPr>
          <w:rFonts w:hint="eastAsia" w:ascii="黑体" w:hAnsi="黑体" w:eastAsia="黑体"/>
          <w:bCs/>
          <w:sz w:val="24"/>
        </w:rPr>
        <w:t>——202</w:t>
      </w:r>
      <w:r>
        <w:rPr>
          <w:rFonts w:hint="eastAsia" w:ascii="黑体" w:hAnsi="黑体" w:eastAsia="黑体"/>
          <w:bCs/>
          <w:sz w:val="24"/>
          <w:lang w:val="en-US" w:eastAsia="zh-CN"/>
        </w:rPr>
        <w:t>2</w:t>
      </w:r>
      <w:r>
        <w:rPr>
          <w:rFonts w:hint="eastAsia" w:ascii="黑体" w:hAnsi="黑体" w:eastAsia="黑体"/>
          <w:bCs/>
          <w:sz w:val="24"/>
        </w:rPr>
        <w:t>学年嘉定区曹王小学课程计划</w:t>
      </w:r>
    </w:p>
    <w:p>
      <w:pPr>
        <w:spacing w:line="360" w:lineRule="auto"/>
        <w:jc w:val="center"/>
        <w:rPr>
          <w:rFonts w:hint="eastAsia" w:ascii="黑体" w:hAnsi="黑体" w:eastAsia="黑体"/>
          <w:bCs/>
          <w:sz w:val="24"/>
        </w:rPr>
      </w:pPr>
    </w:p>
    <w:sdt>
      <w:sdtPr>
        <w:rPr>
          <w:lang w:val="zh-CN"/>
        </w:rPr>
        <w:id w:val="1"/>
        <w:docPartObj>
          <w:docPartGallery w:val="Table of Contents"/>
          <w:docPartUnique/>
        </w:docPartObj>
      </w:sdtPr>
      <w:sdtEndPr>
        <w:rPr>
          <w:b/>
          <w:bCs/>
          <w:sz w:val="24"/>
          <w:lang w:val="zh-CN"/>
        </w:rPr>
      </w:sdtEndPr>
      <w:sdtContent>
        <w:p>
          <w:pPr>
            <w:jc w:val="center"/>
            <w:rPr>
              <w:b/>
              <w:bCs/>
              <w:sz w:val="24"/>
              <w:szCs w:val="32"/>
            </w:rPr>
          </w:pPr>
          <w:r>
            <w:rPr>
              <w:rFonts w:ascii="宋体" w:hAnsi="宋体"/>
              <w:b/>
              <w:bCs/>
              <w:sz w:val="24"/>
              <w:szCs w:val="32"/>
            </w:rPr>
            <w:t>目录</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szCs w:val="22"/>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"_Toc49541668" </w:instrText>
          </w:r>
          <w:r>
            <w:fldChar w:fldCharType="separate"/>
          </w:r>
          <w:r>
            <w:rPr>
              <w:rStyle w:val="13"/>
              <w:rFonts w:hint="eastAsia"/>
            </w:rPr>
            <w:t>第一部分：背景分析</w:t>
          </w:r>
          <w:r>
            <w:tab/>
          </w:r>
          <w:r>
            <w:rPr>
              <w:rFonts w:hint="eastAsia"/>
              <w:lang w:val="en-US" w:eastAsia="zh-CN"/>
            </w:rPr>
            <w:t>3</w:t>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"_Toc49541669" </w:instrText>
          </w:r>
          <w:r>
            <w:fldChar w:fldCharType="separate"/>
          </w:r>
          <w:r>
            <w:rPr>
              <w:rStyle w:val="13"/>
              <w:rFonts w:hint="eastAsia" w:ascii="宋体" w:hAnsi="宋体"/>
            </w:rPr>
            <w:t>一、依据</w:t>
          </w:r>
          <w:r>
            <w:tab/>
          </w:r>
          <w:r>
            <w:rPr>
              <w:rFonts w:hint="eastAsia"/>
              <w:lang w:val="en-US" w:eastAsia="zh-CN"/>
            </w:rPr>
            <w:t>3</w:t>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"_Toc49541670" </w:instrText>
          </w:r>
          <w:r>
            <w:fldChar w:fldCharType="separate"/>
          </w:r>
          <w:r>
            <w:rPr>
              <w:rStyle w:val="13"/>
              <w:rFonts w:hint="eastAsia" w:ascii="宋体" w:hAnsi="宋体"/>
            </w:rPr>
            <w:t>二、校情概述</w:t>
          </w:r>
          <w:r>
            <w:tab/>
          </w:r>
          <w:r>
            <w:rPr>
              <w:rFonts w:hint="eastAsia"/>
              <w:lang w:val="en-US" w:eastAsia="zh-CN"/>
            </w:rPr>
            <w:t>4</w:t>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"_Toc49541671" </w:instrText>
          </w:r>
          <w:r>
            <w:fldChar w:fldCharType="separate"/>
          </w:r>
          <w:r>
            <w:rPr>
              <w:rStyle w:val="13"/>
              <w:rFonts w:hint="eastAsia" w:ascii="宋体" w:hAnsi="宋体"/>
            </w:rPr>
            <w:t>三、学校课程发展条件分析（</w:t>
          </w:r>
          <w:r>
            <w:rPr>
              <w:rStyle w:val="13"/>
              <w:rFonts w:ascii="宋体" w:hAnsi="宋体"/>
            </w:rPr>
            <w:t>SWOTS</w:t>
          </w:r>
          <w:r>
            <w:rPr>
              <w:rStyle w:val="13"/>
              <w:rFonts w:hint="eastAsia" w:ascii="宋体" w:hAnsi="宋体"/>
            </w:rPr>
            <w:t>）</w:t>
          </w:r>
          <w:r>
            <w:tab/>
          </w:r>
          <w:r>
            <w:rPr>
              <w:rFonts w:hint="eastAsia"/>
              <w:lang w:val="en-US" w:eastAsia="zh-CN"/>
            </w:rPr>
            <w:t>5</w:t>
          </w:r>
          <w:r>
            <w:fldChar w:fldCharType="end"/>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szCs w:val="22"/>
            </w:rPr>
          </w:pPr>
          <w:r>
            <w:fldChar w:fldCharType="begin"/>
          </w:r>
          <w:r>
            <w:instrText xml:space="preserve"> HYPERLINK \l "_Toc49541672" </w:instrText>
          </w:r>
          <w:r>
            <w:fldChar w:fldCharType="separate"/>
          </w:r>
          <w:r>
            <w:rPr>
              <w:rStyle w:val="13"/>
              <w:rFonts w:hint="eastAsia"/>
            </w:rPr>
            <w:t>第二部分</w:t>
          </w:r>
          <w:r>
            <w:rPr>
              <w:rStyle w:val="13"/>
            </w:rPr>
            <w:t xml:space="preserve"> </w:t>
          </w:r>
          <w:r>
            <w:rPr>
              <w:rStyle w:val="13"/>
              <w:rFonts w:hint="eastAsia"/>
            </w:rPr>
            <w:t>学校课程目标</w:t>
          </w:r>
          <w:r>
            <w:tab/>
          </w:r>
          <w:r>
            <w:fldChar w:fldCharType="begin"/>
          </w:r>
          <w:r>
            <w:instrText xml:space="preserve"> PAGEREF _Toc49541672 \h </w:instrText>
          </w:r>
          <w:r>
            <w:fldChar w:fldCharType="separate"/>
          </w:r>
          <w:r>
            <w:t>- 8 -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"_Toc49541673" </w:instrText>
          </w:r>
          <w:r>
            <w:fldChar w:fldCharType="separate"/>
          </w:r>
          <w:r>
            <w:rPr>
              <w:rStyle w:val="13"/>
              <w:rFonts w:hint="eastAsia"/>
            </w:rPr>
            <w:t>一、总目标</w:t>
          </w:r>
          <w:r>
            <w:tab/>
          </w:r>
          <w:r>
            <w:fldChar w:fldCharType="begin"/>
          </w:r>
          <w:r>
            <w:instrText xml:space="preserve"> PAGEREF _Toc49541673 \h </w:instrText>
          </w:r>
          <w:r>
            <w:fldChar w:fldCharType="separate"/>
          </w:r>
          <w:r>
            <w:t>- 8 -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"_Toc49541674" </w:instrText>
          </w:r>
          <w:r>
            <w:fldChar w:fldCharType="separate"/>
          </w:r>
          <w:r>
            <w:rPr>
              <w:rStyle w:val="13"/>
              <w:rFonts w:hint="eastAsia"/>
            </w:rPr>
            <w:t>二、课程具体目标</w:t>
          </w:r>
          <w:r>
            <w:tab/>
          </w:r>
          <w:r>
            <w:fldChar w:fldCharType="begin"/>
          </w:r>
          <w:r>
            <w:instrText xml:space="preserve"> PAGEREF _Toc49541674 \h </w:instrText>
          </w:r>
          <w:r>
            <w:fldChar w:fldCharType="separate"/>
          </w:r>
          <w:r>
            <w:t>- 8 -</w:t>
          </w:r>
          <w:r>
            <w:fldChar w:fldCharType="end"/>
          </w:r>
          <w:r>
            <w:fldChar w:fldCharType="end"/>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szCs w:val="22"/>
            </w:rPr>
          </w:pPr>
          <w:r>
            <w:fldChar w:fldCharType="begin"/>
          </w:r>
          <w:r>
            <w:instrText xml:space="preserve"> HYPERLINK \l "_Toc49541675" </w:instrText>
          </w:r>
          <w:r>
            <w:fldChar w:fldCharType="separate"/>
          </w:r>
          <w:r>
            <w:rPr>
              <w:rStyle w:val="13"/>
              <w:rFonts w:hint="eastAsia"/>
            </w:rPr>
            <w:t>第三部分：学校课程结构</w:t>
          </w:r>
          <w:r>
            <w:tab/>
          </w:r>
          <w:r>
            <w:fldChar w:fldCharType="begin"/>
          </w:r>
          <w:r>
            <w:instrText xml:space="preserve"> PAGEREF _Toc49541675 \h </w:instrText>
          </w:r>
          <w:r>
            <w:fldChar w:fldCharType="separate"/>
          </w:r>
          <w:r>
            <w:t>- 9 -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"_Toc49541676" </w:instrText>
          </w:r>
          <w:r>
            <w:fldChar w:fldCharType="separate"/>
          </w:r>
          <w:r>
            <w:rPr>
              <w:rStyle w:val="13"/>
              <w:rFonts w:hint="eastAsia" w:ascii="宋体" w:hAnsi="宋体"/>
            </w:rPr>
            <w:t>一、依据</w:t>
          </w:r>
          <w:r>
            <w:tab/>
          </w:r>
          <w:r>
            <w:fldChar w:fldCharType="begin"/>
          </w:r>
          <w:r>
            <w:instrText xml:space="preserve"> PAGEREF _Toc49541676 \h </w:instrText>
          </w:r>
          <w:r>
            <w:fldChar w:fldCharType="separate"/>
          </w:r>
          <w:r>
            <w:t>- 9 -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"_Toc49541677" </w:instrText>
          </w:r>
          <w:r>
            <w:fldChar w:fldCharType="separate"/>
          </w:r>
          <w:r>
            <w:rPr>
              <w:rStyle w:val="13"/>
              <w:rFonts w:hint="eastAsia" w:ascii="宋体" w:hAnsi="宋体"/>
            </w:rPr>
            <w:t>二、</w:t>
          </w:r>
          <w:r>
            <w:rPr>
              <w:rStyle w:val="13"/>
            </w:rPr>
            <w:t xml:space="preserve"> </w:t>
          </w:r>
          <w:r>
            <w:rPr>
              <w:rStyle w:val="13"/>
              <w:rFonts w:hint="eastAsia" w:ascii="宋体" w:hAnsi="宋体"/>
            </w:rPr>
            <w:t>学校课程结构</w:t>
          </w:r>
          <w:r>
            <w:tab/>
          </w:r>
          <w:r>
            <w:fldChar w:fldCharType="begin"/>
          </w:r>
          <w:r>
            <w:instrText xml:space="preserve"> PAGEREF _Toc49541677 \h </w:instrText>
          </w:r>
          <w:r>
            <w:fldChar w:fldCharType="separate"/>
          </w:r>
          <w:r>
            <w:t>- 11 -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"_Toc49541678" </w:instrText>
          </w:r>
          <w:r>
            <w:fldChar w:fldCharType="separate"/>
          </w:r>
          <w:r>
            <w:rPr>
              <w:rStyle w:val="13"/>
              <w:rFonts w:hint="eastAsia"/>
            </w:rPr>
            <w:t>三、课程具体安排</w:t>
          </w:r>
          <w:r>
            <w:tab/>
          </w:r>
          <w:r>
            <w:fldChar w:fldCharType="begin"/>
          </w:r>
          <w:r>
            <w:instrText xml:space="preserve"> PAGEREF _Toc49541678 \h </w:instrText>
          </w:r>
          <w:r>
            <w:fldChar w:fldCharType="separate"/>
          </w:r>
          <w:r>
            <w:t>- 13 -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"_Toc49541679" </w:instrText>
          </w:r>
          <w:r>
            <w:fldChar w:fldCharType="separate"/>
          </w:r>
          <w:r>
            <w:rPr>
              <w:rStyle w:val="13"/>
              <w:rFonts w:hint="eastAsia"/>
            </w:rPr>
            <w:t>四、专题教育</w:t>
          </w:r>
          <w:r>
            <w:tab/>
          </w:r>
          <w:r>
            <w:fldChar w:fldCharType="begin"/>
          </w:r>
          <w:r>
            <w:instrText xml:space="preserve"> PAGEREF _Toc49541679 \h </w:instrText>
          </w:r>
          <w:r>
            <w:fldChar w:fldCharType="separate"/>
          </w:r>
          <w:r>
            <w:t>- 16 -</w:t>
          </w:r>
          <w:r>
            <w:fldChar w:fldCharType="end"/>
          </w:r>
          <w:r>
            <w:fldChar w:fldCharType="end"/>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szCs w:val="22"/>
            </w:rPr>
          </w:pPr>
          <w:r>
            <w:fldChar w:fldCharType="begin"/>
          </w:r>
          <w:r>
            <w:instrText xml:space="preserve"> HYPERLINK \l "_Toc49541680" </w:instrText>
          </w:r>
          <w:r>
            <w:fldChar w:fldCharType="separate"/>
          </w:r>
          <w:r>
            <w:rPr>
              <w:rStyle w:val="13"/>
              <w:rFonts w:hint="eastAsia"/>
            </w:rPr>
            <w:t>第四部分：学校课程实施</w:t>
          </w:r>
          <w:r>
            <w:tab/>
          </w:r>
          <w:r>
            <w:fldChar w:fldCharType="begin"/>
          </w:r>
          <w:r>
            <w:instrText xml:space="preserve"> PAGEREF _Toc49541680 \h </w:instrText>
          </w:r>
          <w:r>
            <w:fldChar w:fldCharType="separate"/>
          </w:r>
          <w:r>
            <w:t>- 17 -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"_Toc49541681" </w:instrText>
          </w:r>
          <w:r>
            <w:fldChar w:fldCharType="separate"/>
          </w:r>
          <w:r>
            <w:rPr>
              <w:rStyle w:val="13"/>
              <w:rFonts w:hint="eastAsia" w:ascii="宋体" w:hAnsi="宋体"/>
            </w:rPr>
            <w:t>一、实施原则</w:t>
          </w:r>
          <w:r>
            <w:tab/>
          </w:r>
          <w:r>
            <w:fldChar w:fldCharType="begin"/>
          </w:r>
          <w:r>
            <w:instrText xml:space="preserve"> PAGEREF _Toc49541681 \h </w:instrText>
          </w:r>
          <w:r>
            <w:fldChar w:fldCharType="separate"/>
          </w:r>
          <w:r>
            <w:t>- 17 -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"_Toc49541682" </w:instrText>
          </w:r>
          <w:r>
            <w:fldChar w:fldCharType="separate"/>
          </w:r>
          <w:r>
            <w:rPr>
              <w:rStyle w:val="13"/>
            </w:rPr>
            <w:t>1</w:t>
          </w:r>
          <w:r>
            <w:rPr>
              <w:rStyle w:val="13"/>
              <w:rFonts w:hint="eastAsia"/>
            </w:rPr>
            <w:t>、开放服务</w:t>
          </w:r>
          <w:r>
            <w:tab/>
          </w:r>
          <w:r>
            <w:fldChar w:fldCharType="begin"/>
          </w:r>
          <w:r>
            <w:instrText xml:space="preserve"> PAGEREF _Toc49541682 \h </w:instrText>
          </w:r>
          <w:r>
            <w:fldChar w:fldCharType="separate"/>
          </w:r>
          <w:r>
            <w:t>- 17 -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"_Toc49541683" </w:instrText>
          </w:r>
          <w:r>
            <w:fldChar w:fldCharType="separate"/>
          </w:r>
          <w:r>
            <w:rPr>
              <w:rStyle w:val="13"/>
            </w:rPr>
            <w:t>2</w:t>
          </w:r>
          <w:r>
            <w:rPr>
              <w:rStyle w:val="13"/>
              <w:rFonts w:hint="eastAsia"/>
            </w:rPr>
            <w:t>、教学共鸣</w:t>
          </w:r>
          <w:r>
            <w:tab/>
          </w:r>
          <w:r>
            <w:fldChar w:fldCharType="begin"/>
          </w:r>
          <w:r>
            <w:instrText xml:space="preserve"> PAGEREF _Toc49541683 \h </w:instrText>
          </w:r>
          <w:r>
            <w:fldChar w:fldCharType="separate"/>
          </w:r>
          <w:r>
            <w:t>- 17 -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"_Toc49541684" </w:instrText>
          </w:r>
          <w:r>
            <w:fldChar w:fldCharType="separate"/>
          </w:r>
          <w:r>
            <w:rPr>
              <w:rStyle w:val="13"/>
            </w:rPr>
            <w:t>3</w:t>
          </w:r>
          <w:r>
            <w:rPr>
              <w:rStyle w:val="13"/>
              <w:rFonts w:hint="eastAsia"/>
            </w:rPr>
            <w:t>、多样模块</w:t>
          </w:r>
          <w:r>
            <w:tab/>
          </w:r>
          <w:r>
            <w:fldChar w:fldCharType="begin"/>
          </w:r>
          <w:r>
            <w:instrText xml:space="preserve"> PAGEREF _Toc49541684 \h </w:instrText>
          </w:r>
          <w:r>
            <w:fldChar w:fldCharType="separate"/>
          </w:r>
          <w:r>
            <w:t>- 17 -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"_Toc49541685" </w:instrText>
          </w:r>
          <w:r>
            <w:fldChar w:fldCharType="separate"/>
          </w:r>
          <w:r>
            <w:rPr>
              <w:rStyle w:val="13"/>
              <w:rFonts w:hint="eastAsia" w:ascii="宋体" w:hAnsi="宋体"/>
            </w:rPr>
            <w:t>二、各类课程实施要求</w:t>
          </w:r>
          <w:r>
            <w:tab/>
          </w:r>
          <w:r>
            <w:fldChar w:fldCharType="begin"/>
          </w:r>
          <w:r>
            <w:instrText xml:space="preserve"> PAGEREF _Toc49541685 \h </w:instrText>
          </w:r>
          <w:r>
            <w:fldChar w:fldCharType="separate"/>
          </w:r>
          <w:r>
            <w:t>- 17 -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"_Toc49541686" </w:instrText>
          </w:r>
          <w:r>
            <w:fldChar w:fldCharType="separate"/>
          </w:r>
          <w:r>
            <w:rPr>
              <w:rStyle w:val="13"/>
            </w:rPr>
            <w:t>1</w:t>
          </w:r>
          <w:r>
            <w:rPr>
              <w:rStyle w:val="13"/>
              <w:rFonts w:hint="eastAsia"/>
            </w:rPr>
            <w:t>、基础型课程要求</w:t>
          </w:r>
          <w:r>
            <w:tab/>
          </w:r>
          <w:r>
            <w:fldChar w:fldCharType="begin"/>
          </w:r>
          <w:r>
            <w:instrText xml:space="preserve"> PAGEREF _Toc49541686 \h </w:instrText>
          </w:r>
          <w:r>
            <w:fldChar w:fldCharType="separate"/>
          </w:r>
          <w:r>
            <w:t>- 17 -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"_Toc49541687" </w:instrText>
          </w:r>
          <w:r>
            <w:fldChar w:fldCharType="separate"/>
          </w:r>
          <w:r>
            <w:rPr>
              <w:rStyle w:val="13"/>
            </w:rPr>
            <w:t>2</w:t>
          </w:r>
          <w:r>
            <w:rPr>
              <w:rStyle w:val="13"/>
              <w:rFonts w:hint="eastAsia"/>
            </w:rPr>
            <w:t>、拓展型课程要求</w:t>
          </w:r>
          <w:r>
            <w:tab/>
          </w:r>
          <w:r>
            <w:fldChar w:fldCharType="begin"/>
          </w:r>
          <w:r>
            <w:instrText xml:space="preserve"> PAGEREF _Toc49541687 \h </w:instrText>
          </w:r>
          <w:r>
            <w:fldChar w:fldCharType="separate"/>
          </w:r>
          <w:r>
            <w:t>- 18 -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"_Toc49541688" </w:instrText>
          </w:r>
          <w:r>
            <w:fldChar w:fldCharType="separate"/>
          </w:r>
          <w:r>
            <w:rPr>
              <w:rStyle w:val="13"/>
            </w:rPr>
            <w:t>3</w:t>
          </w:r>
          <w:r>
            <w:rPr>
              <w:rStyle w:val="13"/>
              <w:rFonts w:hint="eastAsia"/>
            </w:rPr>
            <w:t>、探究型课程要求</w:t>
          </w:r>
          <w:r>
            <w:tab/>
          </w:r>
          <w:r>
            <w:fldChar w:fldCharType="begin"/>
          </w:r>
          <w:r>
            <w:instrText xml:space="preserve"> PAGEREF _Toc49541688 \h </w:instrText>
          </w:r>
          <w:r>
            <w:fldChar w:fldCharType="separate"/>
          </w:r>
          <w:r>
            <w:t>- 18 -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"_Toc49541689" </w:instrText>
          </w:r>
          <w:r>
            <w:fldChar w:fldCharType="separate"/>
          </w:r>
          <w:r>
            <w:rPr>
              <w:rStyle w:val="13"/>
              <w:rFonts w:hint="eastAsia"/>
            </w:rPr>
            <w:t>三、校本课程</w:t>
          </w:r>
          <w:r>
            <w:tab/>
          </w:r>
          <w:r>
            <w:fldChar w:fldCharType="begin"/>
          </w:r>
          <w:r>
            <w:instrText xml:space="preserve"> PAGEREF _Toc49541689 \h </w:instrText>
          </w:r>
          <w:r>
            <w:fldChar w:fldCharType="separate"/>
          </w:r>
          <w:r>
            <w:t>- 18 -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"_Toc49541690" </w:instrText>
          </w:r>
          <w:r>
            <w:fldChar w:fldCharType="separate"/>
          </w:r>
          <w:r>
            <w:rPr>
              <w:rStyle w:val="13"/>
            </w:rPr>
            <w:t>1</w:t>
          </w:r>
          <w:r>
            <w:rPr>
              <w:rStyle w:val="13"/>
              <w:rFonts w:hint="eastAsia"/>
            </w:rPr>
            <w:t>、小神农课程</w:t>
          </w:r>
          <w:r>
            <w:tab/>
          </w:r>
          <w:r>
            <w:fldChar w:fldCharType="begin"/>
          </w:r>
          <w:r>
            <w:instrText xml:space="preserve"> PAGEREF _Toc49541690 \h </w:instrText>
          </w:r>
          <w:r>
            <w:fldChar w:fldCharType="separate"/>
          </w:r>
          <w:r>
            <w:t>- 18 -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"_Toc49541691" </w:instrText>
          </w:r>
          <w:r>
            <w:fldChar w:fldCharType="separate"/>
          </w:r>
          <w:r>
            <w:rPr>
              <w:rStyle w:val="13"/>
            </w:rPr>
            <w:t>2</w:t>
          </w:r>
          <w:r>
            <w:rPr>
              <w:rStyle w:val="13"/>
              <w:rFonts w:hint="eastAsia"/>
            </w:rPr>
            <w:t>、幸福课程</w:t>
          </w:r>
          <w:r>
            <w:tab/>
          </w:r>
          <w:r>
            <w:fldChar w:fldCharType="begin"/>
          </w:r>
          <w:r>
            <w:instrText xml:space="preserve"> PAGEREF _Toc49541691 \h </w:instrText>
          </w:r>
          <w:r>
            <w:fldChar w:fldCharType="separate"/>
          </w:r>
          <w:r>
            <w:t>- 21 -</w:t>
          </w:r>
          <w:r>
            <w:fldChar w:fldCharType="end"/>
          </w:r>
          <w:r>
            <w:fldChar w:fldCharType="end"/>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szCs w:val="22"/>
            </w:rPr>
          </w:pPr>
          <w:r>
            <w:fldChar w:fldCharType="begin"/>
          </w:r>
          <w:r>
            <w:instrText xml:space="preserve"> HYPERLINK \l "_Toc49541692" </w:instrText>
          </w:r>
          <w:r>
            <w:fldChar w:fldCharType="separate"/>
          </w:r>
          <w:r>
            <w:rPr>
              <w:rStyle w:val="13"/>
              <w:rFonts w:hint="eastAsia"/>
            </w:rPr>
            <w:t>第五部分：课程管理</w:t>
          </w:r>
          <w:r>
            <w:tab/>
          </w:r>
          <w:r>
            <w:fldChar w:fldCharType="begin"/>
          </w:r>
          <w:r>
            <w:instrText xml:space="preserve"> PAGEREF _Toc49541692 \h </w:instrText>
          </w:r>
          <w:r>
            <w:fldChar w:fldCharType="separate"/>
          </w:r>
          <w:r>
            <w:t>- 21 -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"_Toc49541693" </w:instrText>
          </w:r>
          <w:r>
            <w:fldChar w:fldCharType="separate"/>
          </w:r>
          <w:r>
            <w:rPr>
              <w:rStyle w:val="13"/>
              <w:rFonts w:hint="eastAsia"/>
            </w:rPr>
            <w:t>一、基础型课程的管理</w:t>
          </w:r>
          <w:r>
            <w:tab/>
          </w:r>
          <w:r>
            <w:fldChar w:fldCharType="begin"/>
          </w:r>
          <w:r>
            <w:instrText xml:space="preserve"> PAGEREF _Toc49541693 \h </w:instrText>
          </w:r>
          <w:r>
            <w:fldChar w:fldCharType="separate"/>
          </w:r>
          <w:r>
            <w:t>- 21 -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"_Toc49541694" </w:instrText>
          </w:r>
          <w:r>
            <w:fldChar w:fldCharType="separate"/>
          </w:r>
          <w:r>
            <w:rPr>
              <w:rStyle w:val="13"/>
              <w:rFonts w:hint="eastAsia"/>
            </w:rPr>
            <w:t>二、拓展型课程、探究型课程的实施</w:t>
          </w:r>
          <w:r>
            <w:tab/>
          </w:r>
          <w:r>
            <w:fldChar w:fldCharType="begin"/>
          </w:r>
          <w:r>
            <w:instrText xml:space="preserve"> PAGEREF _Toc49541694 \h </w:instrText>
          </w:r>
          <w:r>
            <w:fldChar w:fldCharType="separate"/>
          </w:r>
          <w:r>
            <w:t>- 22 -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"_Toc49541695" </w:instrText>
          </w:r>
          <w:r>
            <w:fldChar w:fldCharType="separate"/>
          </w:r>
          <w:r>
            <w:rPr>
              <w:rStyle w:val="13"/>
            </w:rPr>
            <w:t>1</w:t>
          </w:r>
          <w:r>
            <w:rPr>
              <w:rStyle w:val="13"/>
              <w:rFonts w:hint="eastAsia"/>
            </w:rPr>
            <w:t>、实施原则</w:t>
          </w:r>
          <w:r>
            <w:tab/>
          </w:r>
          <w:r>
            <w:fldChar w:fldCharType="begin"/>
          </w:r>
          <w:r>
            <w:instrText xml:space="preserve"> PAGEREF _Toc49541695 \h </w:instrText>
          </w:r>
          <w:r>
            <w:fldChar w:fldCharType="separate"/>
          </w:r>
          <w:r>
            <w:t>- 22 -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"_Toc49541696" </w:instrText>
          </w:r>
          <w:r>
            <w:fldChar w:fldCharType="separate"/>
          </w:r>
          <w:r>
            <w:rPr>
              <w:rStyle w:val="13"/>
            </w:rPr>
            <w:t>2</w:t>
          </w:r>
          <w:r>
            <w:rPr>
              <w:rStyle w:val="13"/>
              <w:rFonts w:hint="eastAsia"/>
            </w:rPr>
            <w:t>、实施途径</w:t>
          </w:r>
          <w:r>
            <w:tab/>
          </w:r>
          <w:r>
            <w:fldChar w:fldCharType="begin"/>
          </w:r>
          <w:r>
            <w:instrText xml:space="preserve"> PAGEREF _Toc49541696 \h </w:instrText>
          </w:r>
          <w:r>
            <w:fldChar w:fldCharType="separate"/>
          </w:r>
          <w:r>
            <w:t>- 23 -</w:t>
          </w:r>
          <w:r>
            <w:fldChar w:fldCharType="end"/>
          </w:r>
          <w:r>
            <w:fldChar w:fldCharType="end"/>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szCs w:val="22"/>
            </w:rPr>
          </w:pPr>
          <w:r>
            <w:fldChar w:fldCharType="begin"/>
          </w:r>
          <w:r>
            <w:instrText xml:space="preserve"> HYPERLINK \l "_Toc49541697" </w:instrText>
          </w:r>
          <w:r>
            <w:fldChar w:fldCharType="separate"/>
          </w:r>
          <w:r>
            <w:rPr>
              <w:rStyle w:val="13"/>
              <w:rFonts w:hint="eastAsia"/>
            </w:rPr>
            <w:t>第六部分：学校课程评价</w:t>
          </w:r>
          <w:r>
            <w:tab/>
          </w:r>
          <w:r>
            <w:fldChar w:fldCharType="begin"/>
          </w:r>
          <w:r>
            <w:instrText xml:space="preserve"> PAGEREF _Toc49541697 \h </w:instrText>
          </w:r>
          <w:r>
            <w:fldChar w:fldCharType="separate"/>
          </w:r>
          <w:r>
            <w:t>- 24 -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"_Toc49541698" </w:instrText>
          </w:r>
          <w:r>
            <w:fldChar w:fldCharType="separate"/>
          </w:r>
          <w:r>
            <w:rPr>
              <w:rStyle w:val="13"/>
              <w:rFonts w:hint="eastAsia"/>
            </w:rPr>
            <w:t>一、评价原则</w:t>
          </w:r>
          <w:r>
            <w:tab/>
          </w:r>
          <w:r>
            <w:fldChar w:fldCharType="begin"/>
          </w:r>
          <w:r>
            <w:instrText xml:space="preserve"> PAGEREF _Toc49541698 \h </w:instrText>
          </w:r>
          <w:r>
            <w:fldChar w:fldCharType="separate"/>
          </w:r>
          <w:r>
            <w:t>- 24 -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"_Toc49541699" </w:instrText>
          </w:r>
          <w:r>
            <w:fldChar w:fldCharType="separate"/>
          </w:r>
          <w:r>
            <w:rPr>
              <w:rStyle w:val="13"/>
              <w:rFonts w:hint="eastAsia"/>
            </w:rPr>
            <w:t>二、评价主体</w:t>
          </w:r>
          <w:r>
            <w:tab/>
          </w:r>
          <w:r>
            <w:fldChar w:fldCharType="begin"/>
          </w:r>
          <w:r>
            <w:instrText xml:space="preserve"> PAGEREF _Toc49541699 \h </w:instrText>
          </w:r>
          <w:r>
            <w:fldChar w:fldCharType="separate"/>
          </w:r>
          <w:r>
            <w:t>- 25 -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"_Toc49541700" </w:instrText>
          </w:r>
          <w:r>
            <w:fldChar w:fldCharType="separate"/>
          </w:r>
          <w:r>
            <w:rPr>
              <w:rStyle w:val="13"/>
              <w:rFonts w:hint="eastAsia"/>
            </w:rPr>
            <w:t>三、评价构成要素</w:t>
          </w:r>
          <w:r>
            <w:tab/>
          </w:r>
          <w:r>
            <w:fldChar w:fldCharType="begin"/>
          </w:r>
          <w:r>
            <w:instrText xml:space="preserve"> PAGEREF _Toc49541700 \h </w:instrText>
          </w:r>
          <w:r>
            <w:fldChar w:fldCharType="separate"/>
          </w:r>
          <w:r>
            <w:t>- 25 -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"_Toc49541701" </w:instrText>
          </w:r>
          <w:r>
            <w:fldChar w:fldCharType="separate"/>
          </w:r>
          <w:r>
            <w:rPr>
              <w:rStyle w:val="13"/>
            </w:rPr>
            <w:t>1</w:t>
          </w:r>
          <w:r>
            <w:rPr>
              <w:rStyle w:val="13"/>
              <w:rFonts w:hint="eastAsia"/>
            </w:rPr>
            <w:t>、评价学生</w:t>
          </w:r>
          <w:r>
            <w:tab/>
          </w:r>
          <w:r>
            <w:fldChar w:fldCharType="begin"/>
          </w:r>
          <w:r>
            <w:instrText xml:space="preserve"> PAGEREF _Toc49541701 \h </w:instrText>
          </w:r>
          <w:r>
            <w:fldChar w:fldCharType="separate"/>
          </w:r>
          <w:r>
            <w:t>- 25 -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"_Toc49541702" </w:instrText>
          </w:r>
          <w:r>
            <w:fldChar w:fldCharType="separate"/>
          </w:r>
          <w:r>
            <w:rPr>
              <w:rStyle w:val="13"/>
            </w:rPr>
            <w:t>2</w:t>
          </w:r>
          <w:r>
            <w:rPr>
              <w:rStyle w:val="13"/>
              <w:rFonts w:hint="eastAsia"/>
            </w:rPr>
            <w:t>、评价教师</w:t>
          </w:r>
          <w:r>
            <w:tab/>
          </w:r>
          <w:r>
            <w:fldChar w:fldCharType="begin"/>
          </w:r>
          <w:r>
            <w:instrText xml:space="preserve"> PAGEREF _Toc49541702 \h </w:instrText>
          </w:r>
          <w:r>
            <w:fldChar w:fldCharType="separate"/>
          </w:r>
          <w:r>
            <w:t>- 28 -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"_Toc49541703" </w:instrText>
          </w:r>
          <w:r>
            <w:fldChar w:fldCharType="separate"/>
          </w:r>
          <w:r>
            <w:rPr>
              <w:rStyle w:val="13"/>
            </w:rPr>
            <w:t>3</w:t>
          </w:r>
          <w:r>
            <w:rPr>
              <w:rStyle w:val="13"/>
              <w:rFonts w:hint="eastAsia"/>
            </w:rPr>
            <w:t>、拓展型课程、探究型课程的教学评价要求</w:t>
          </w:r>
          <w:r>
            <w:tab/>
          </w:r>
          <w:r>
            <w:fldChar w:fldCharType="begin"/>
          </w:r>
          <w:r>
            <w:instrText xml:space="preserve"> PAGEREF _Toc49541703 \h </w:instrText>
          </w:r>
          <w:r>
            <w:fldChar w:fldCharType="separate"/>
          </w:r>
          <w:r>
            <w:t>- 29 -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szCs w:val="22"/>
              <w:lang w:val="en-US" w:eastAsia="zh-CN"/>
            </w:rPr>
          </w:pPr>
          <w:r>
            <w:fldChar w:fldCharType="begin"/>
          </w:r>
          <w:r>
            <w:instrText xml:space="preserve"> HYPERLINK \l "_Toc49541704" </w:instrText>
          </w:r>
          <w:r>
            <w:fldChar w:fldCharType="separate"/>
          </w:r>
          <w:r>
            <w:rPr>
              <w:rStyle w:val="13"/>
            </w:rPr>
            <w:t>4</w:t>
          </w:r>
          <w:r>
            <w:rPr>
              <w:rStyle w:val="13"/>
              <w:rFonts w:hint="eastAsia"/>
            </w:rPr>
            <w:t>、课程效果的评价</w:t>
          </w:r>
          <w:r>
            <w:tab/>
          </w:r>
          <w:r>
            <w:rPr>
              <w:rFonts w:hint="eastAsia"/>
              <w:lang w:val="en-US" w:eastAsia="zh-CN"/>
            </w:rPr>
            <w:t>3</w:t>
          </w:r>
          <w:r>
            <w:fldChar w:fldCharType="end"/>
          </w:r>
          <w:r>
            <w:rPr>
              <w:rFonts w:hint="eastAsia"/>
              <w:lang w:val="en-US" w:eastAsia="zh-CN"/>
            </w:rPr>
            <w:t>0</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szCs w:val="22"/>
              <w:lang w:val="en-US" w:eastAsia="zh-CN"/>
            </w:rPr>
          </w:pPr>
          <w:r>
            <w:fldChar w:fldCharType="begin"/>
          </w:r>
          <w:r>
            <w:instrText xml:space="preserve"> HYPERLINK \l "_Toc49541705" </w:instrText>
          </w:r>
          <w:r>
            <w:fldChar w:fldCharType="separate"/>
          </w:r>
          <w:r>
            <w:rPr>
              <w:rStyle w:val="13"/>
              <w:rFonts w:hint="eastAsia" w:ascii="宋体" w:hAnsi="宋体"/>
              <w:b/>
              <w:bCs/>
            </w:rPr>
            <w:t>第七部分</w:t>
          </w:r>
          <w:r>
            <w:rPr>
              <w:rStyle w:val="13"/>
              <w:rFonts w:ascii="宋体" w:hAnsi="宋体"/>
              <w:b/>
              <w:bCs/>
            </w:rPr>
            <w:t xml:space="preserve">  </w:t>
          </w:r>
          <w:r>
            <w:rPr>
              <w:rStyle w:val="13"/>
              <w:rFonts w:hint="eastAsia" w:ascii="宋体" w:hAnsi="宋体"/>
              <w:b/>
              <w:bCs/>
            </w:rPr>
            <w:t>学校课程保障措施</w:t>
          </w:r>
          <w:r>
            <w:tab/>
          </w:r>
          <w:r>
            <w:rPr>
              <w:rFonts w:hint="eastAsia"/>
              <w:lang w:val="en-US" w:eastAsia="zh-CN"/>
            </w:rPr>
            <w:t>3</w:t>
          </w:r>
          <w:r>
            <w:fldChar w:fldCharType="end"/>
          </w:r>
          <w:r>
            <w:rPr>
              <w:rFonts w:hint="eastAsia"/>
              <w:lang w:val="en-US" w:eastAsia="zh-CN"/>
            </w:rPr>
            <w:t>0</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szCs w:val="22"/>
              <w:lang w:val="en-US" w:eastAsia="zh-CN"/>
            </w:rPr>
          </w:pPr>
          <w:r>
            <w:fldChar w:fldCharType="begin"/>
          </w:r>
          <w:r>
            <w:instrText xml:space="preserve"> HYPERLINK \l "_Toc49541706" </w:instrText>
          </w:r>
          <w:r>
            <w:fldChar w:fldCharType="separate"/>
          </w:r>
          <w:r>
            <w:rPr>
              <w:rStyle w:val="13"/>
              <w:rFonts w:hint="eastAsia"/>
            </w:rPr>
            <w:t>一、规章制度</w:t>
          </w:r>
          <w:r>
            <w:tab/>
          </w:r>
          <w:r>
            <w:rPr>
              <w:rFonts w:hint="eastAsia"/>
              <w:lang w:val="en-US" w:eastAsia="zh-CN"/>
            </w:rPr>
            <w:t>3</w:t>
          </w:r>
          <w:r>
            <w:fldChar w:fldCharType="end"/>
          </w:r>
          <w:r>
            <w:rPr>
              <w:rFonts w:hint="eastAsia"/>
              <w:lang w:val="en-US" w:eastAsia="zh-CN"/>
            </w:rPr>
            <w:t>0</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szCs w:val="22"/>
              <w:lang w:val="en-US" w:eastAsia="zh-CN"/>
            </w:rPr>
          </w:pPr>
          <w:r>
            <w:fldChar w:fldCharType="begin"/>
          </w:r>
          <w:r>
            <w:instrText xml:space="preserve"> HYPERLINK \l "_Toc49541707" </w:instrText>
          </w:r>
          <w:r>
            <w:fldChar w:fldCharType="separate"/>
          </w:r>
          <w:r>
            <w:rPr>
              <w:rStyle w:val="13"/>
            </w:rPr>
            <w:t>1</w:t>
          </w:r>
          <w:r>
            <w:rPr>
              <w:rStyle w:val="13"/>
              <w:rFonts w:hint="eastAsia"/>
            </w:rPr>
            <w:t>、制度保障</w:t>
          </w:r>
          <w:r>
            <w:tab/>
          </w:r>
          <w:r>
            <w:rPr>
              <w:rFonts w:hint="eastAsia"/>
              <w:lang w:val="en-US" w:eastAsia="zh-CN"/>
            </w:rPr>
            <w:t>3</w:t>
          </w:r>
          <w:r>
            <w:fldChar w:fldCharType="end"/>
          </w:r>
          <w:r>
            <w:rPr>
              <w:rFonts w:hint="eastAsia"/>
              <w:lang w:val="en-US" w:eastAsia="zh-CN"/>
            </w:rPr>
            <w:t>0</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"_Toc49541708" </w:instrText>
          </w:r>
          <w:r>
            <w:fldChar w:fldCharType="separate"/>
          </w:r>
          <w:r>
            <w:rPr>
              <w:rStyle w:val="13"/>
            </w:rPr>
            <w:t>2</w:t>
          </w:r>
          <w:r>
            <w:rPr>
              <w:rStyle w:val="13"/>
              <w:rFonts w:hint="eastAsia"/>
            </w:rPr>
            <w:t>、队伍保障</w:t>
          </w:r>
          <w:r>
            <w:tab/>
          </w:r>
          <w:r>
            <w:fldChar w:fldCharType="begin"/>
          </w:r>
          <w:r>
            <w:instrText xml:space="preserve"> PAGEREF _Toc49541708 \h </w:instrText>
          </w:r>
          <w:r>
            <w:fldChar w:fldCharType="separate"/>
          </w:r>
          <w:r>
            <w:t>- 30 -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"_Toc49541709" </w:instrText>
          </w:r>
          <w:r>
            <w:fldChar w:fldCharType="separate"/>
          </w:r>
          <w:r>
            <w:rPr>
              <w:rStyle w:val="13"/>
            </w:rPr>
            <w:t>3</w:t>
          </w:r>
          <w:r>
            <w:rPr>
              <w:rStyle w:val="13"/>
              <w:rFonts w:hint="eastAsia"/>
            </w:rPr>
            <w:t>、经费保障</w:t>
          </w:r>
          <w:r>
            <w:tab/>
          </w:r>
          <w:r>
            <w:fldChar w:fldCharType="begin"/>
          </w:r>
          <w:r>
            <w:instrText xml:space="preserve"> PAGEREF _Toc49541709 \h </w:instrText>
          </w:r>
          <w:r>
            <w:fldChar w:fldCharType="separate"/>
          </w:r>
          <w:r>
            <w:t>- 30 -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"_Toc49541710" </w:instrText>
          </w:r>
          <w:r>
            <w:fldChar w:fldCharType="separate"/>
          </w:r>
          <w:r>
            <w:rPr>
              <w:rStyle w:val="13"/>
            </w:rPr>
            <w:t>4</w:t>
          </w:r>
          <w:r>
            <w:rPr>
              <w:rStyle w:val="13"/>
              <w:rFonts w:hint="eastAsia"/>
            </w:rPr>
            <w:t>、后勤保障</w:t>
          </w:r>
          <w:r>
            <w:tab/>
          </w:r>
          <w:r>
            <w:fldChar w:fldCharType="begin"/>
          </w:r>
          <w:r>
            <w:instrText xml:space="preserve"> PAGEREF _Toc49541710 \h </w:instrText>
          </w:r>
          <w:r>
            <w:fldChar w:fldCharType="separate"/>
          </w:r>
          <w:r>
            <w:t>- 30 -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"_Toc49541711" </w:instrText>
          </w:r>
          <w:r>
            <w:fldChar w:fldCharType="separate"/>
          </w:r>
          <w:r>
            <w:rPr>
              <w:rStyle w:val="13"/>
            </w:rPr>
            <w:t>5</w:t>
          </w:r>
          <w:r>
            <w:rPr>
              <w:rStyle w:val="13"/>
              <w:rFonts w:hint="eastAsia"/>
            </w:rPr>
            <w:t>、技术保障</w:t>
          </w:r>
          <w:r>
            <w:tab/>
          </w:r>
          <w:r>
            <w:fldChar w:fldCharType="begin"/>
          </w:r>
          <w:r>
            <w:instrText xml:space="preserve"> PAGEREF _Toc49541711 \h </w:instrText>
          </w:r>
          <w:r>
            <w:fldChar w:fldCharType="separate"/>
          </w:r>
          <w:r>
            <w:t>- 30 -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"_Toc49541712" </w:instrText>
          </w:r>
          <w:r>
            <w:fldChar w:fldCharType="separate"/>
          </w:r>
          <w:r>
            <w:rPr>
              <w:rStyle w:val="13"/>
              <w:rFonts w:hint="eastAsia"/>
            </w:rPr>
            <w:t>二、管理措施</w:t>
          </w:r>
          <w:r>
            <w:tab/>
          </w:r>
          <w:r>
            <w:fldChar w:fldCharType="begin"/>
          </w:r>
          <w:r>
            <w:instrText xml:space="preserve"> PAGEREF _Toc49541712 \h </w:instrText>
          </w:r>
          <w:r>
            <w:fldChar w:fldCharType="separate"/>
          </w:r>
          <w:r>
            <w:t>- 31 -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"_Toc49541713" </w:instrText>
          </w:r>
          <w:r>
            <w:fldChar w:fldCharType="separate"/>
          </w:r>
          <w:r>
            <w:rPr>
              <w:rStyle w:val="13"/>
            </w:rPr>
            <w:t>1</w:t>
          </w:r>
          <w:r>
            <w:rPr>
              <w:rStyle w:val="13"/>
              <w:rFonts w:hint="eastAsia"/>
            </w:rPr>
            <w:t>、管理体制及职责分工</w:t>
          </w:r>
          <w:r>
            <w:tab/>
          </w:r>
          <w:r>
            <w:fldChar w:fldCharType="begin"/>
          </w:r>
          <w:r>
            <w:instrText xml:space="preserve"> PAGEREF _Toc49541713 \h </w:instrText>
          </w:r>
          <w:r>
            <w:fldChar w:fldCharType="separate"/>
          </w:r>
          <w:r>
            <w:t>- 31 -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"_Toc49541714" </w:instrText>
          </w:r>
          <w:r>
            <w:fldChar w:fldCharType="separate"/>
          </w:r>
          <w:r>
            <w:rPr>
              <w:rStyle w:val="13"/>
            </w:rPr>
            <w:t>2</w:t>
          </w:r>
          <w:r>
            <w:rPr>
              <w:rStyle w:val="13"/>
              <w:rFonts w:hint="eastAsia"/>
            </w:rPr>
            <w:t>、管理程序</w:t>
          </w:r>
          <w:r>
            <w:tab/>
          </w:r>
          <w:r>
            <w:fldChar w:fldCharType="begin"/>
          </w:r>
          <w:r>
            <w:instrText xml:space="preserve"> PAGEREF _Toc49541714 \h </w:instrText>
          </w:r>
          <w:r>
            <w:fldChar w:fldCharType="separate"/>
          </w:r>
          <w:r>
            <w:t>- 31 -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"_Toc49541715" </w:instrText>
          </w:r>
          <w:r>
            <w:fldChar w:fldCharType="separate"/>
          </w:r>
          <w:r>
            <w:rPr>
              <w:rStyle w:val="13"/>
              <w:rFonts w:hint="eastAsia"/>
            </w:rPr>
            <w:t>三、资源利用</w:t>
          </w:r>
          <w:r>
            <w:tab/>
          </w:r>
          <w:r>
            <w:fldChar w:fldCharType="begin"/>
          </w:r>
          <w:r>
            <w:instrText xml:space="preserve"> PAGEREF _Toc49541715 \h </w:instrText>
          </w:r>
          <w:r>
            <w:fldChar w:fldCharType="separate"/>
          </w:r>
          <w:r>
            <w:t>- 32 -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"_Toc49541716" </w:instrText>
          </w:r>
          <w:r>
            <w:fldChar w:fldCharType="separate"/>
          </w:r>
          <w:r>
            <w:rPr>
              <w:rStyle w:val="13"/>
            </w:rPr>
            <w:t>1</w:t>
          </w:r>
          <w:r>
            <w:rPr>
              <w:rStyle w:val="13"/>
              <w:rFonts w:hint="eastAsia"/>
            </w:rPr>
            <w:t>、课程基地选择</w:t>
          </w:r>
          <w:r>
            <w:tab/>
          </w:r>
          <w:r>
            <w:fldChar w:fldCharType="begin"/>
          </w:r>
          <w:r>
            <w:instrText xml:space="preserve"> PAGEREF _Toc49541716 \h </w:instrText>
          </w:r>
          <w:r>
            <w:fldChar w:fldCharType="separate"/>
          </w:r>
          <w:r>
            <w:t>- 32 -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"_Toc49541717" </w:instrText>
          </w:r>
          <w:r>
            <w:fldChar w:fldCharType="separate"/>
          </w:r>
          <w:r>
            <w:rPr>
              <w:rStyle w:val="13"/>
            </w:rPr>
            <w:t>2</w:t>
          </w:r>
          <w:r>
            <w:rPr>
              <w:rStyle w:val="13"/>
              <w:rFonts w:hint="eastAsia"/>
            </w:rPr>
            <w:t>、课程基地构造</w:t>
          </w:r>
          <w:r>
            <w:tab/>
          </w:r>
          <w:r>
            <w:fldChar w:fldCharType="begin"/>
          </w:r>
          <w:r>
            <w:instrText xml:space="preserve"> PAGEREF _Toc49541717 \h </w:instrText>
          </w:r>
          <w:r>
            <w:fldChar w:fldCharType="separate"/>
          </w:r>
          <w:r>
            <w:t>- 32 -</w:t>
          </w:r>
          <w:r>
            <w:fldChar w:fldCharType="end"/>
          </w:r>
          <w:r>
            <w:fldChar w:fldCharType="end"/>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"_Toc49541718" </w:instrText>
          </w:r>
          <w:r>
            <w:fldChar w:fldCharType="separate"/>
          </w:r>
          <w:r>
            <w:rPr>
              <w:rStyle w:val="13"/>
            </w:rPr>
            <w:t>3</w:t>
          </w:r>
          <w:r>
            <w:rPr>
              <w:rStyle w:val="13"/>
              <w:rFonts w:hint="eastAsia"/>
            </w:rPr>
            <w:t>、课程基地价值</w:t>
          </w:r>
          <w:r>
            <w:tab/>
          </w:r>
          <w:r>
            <w:fldChar w:fldCharType="begin"/>
          </w:r>
          <w:r>
            <w:instrText xml:space="preserve"> PAGEREF _Toc49541718 \h </w:instrText>
          </w:r>
          <w:r>
            <w:fldChar w:fldCharType="separate"/>
          </w:r>
          <w:r>
            <w:t>- 32 -</w:t>
          </w:r>
          <w:r>
            <w:fldChar w:fldCharType="end"/>
          </w:r>
          <w:r>
            <w:fldChar w:fldCharType="end"/>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szCs w:val="22"/>
            </w:rPr>
          </w:pPr>
          <w:r>
            <w:fldChar w:fldCharType="begin"/>
          </w:r>
          <w:r>
            <w:instrText xml:space="preserve"> HYPERLINK \l "_Toc49541719" </w:instrText>
          </w:r>
          <w:r>
            <w:fldChar w:fldCharType="separate"/>
          </w:r>
          <w:r>
            <w:rPr>
              <w:rStyle w:val="13"/>
              <w:rFonts w:hint="eastAsia"/>
            </w:rPr>
            <w:t>四、专业发展</w:t>
          </w:r>
          <w:r>
            <w:tab/>
          </w:r>
          <w:r>
            <w:fldChar w:fldCharType="begin"/>
          </w:r>
          <w:r>
            <w:instrText xml:space="preserve"> PAGEREF _Toc49541719 \h </w:instrText>
          </w:r>
          <w:r>
            <w:fldChar w:fldCharType="separate"/>
          </w:r>
          <w:r>
            <w:t>- 33 -</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bCs/>
              <w:lang w:val="zh-CN"/>
            </w:rPr>
            <w:fldChar w:fldCharType="end"/>
          </w:r>
        </w:p>
      </w:sdtContent>
    </w:sdt>
    <w:p>
      <w:pPr>
        <w:jc w:val="center"/>
        <w:rPr>
          <w:rFonts w:hint="eastAsia" w:ascii="黑体" w:hAnsi="黑体" w:eastAsia="黑体"/>
          <w:sz w:val="32"/>
          <w:szCs w:val="32"/>
        </w:rPr>
      </w:pPr>
    </w:p>
    <w:p>
      <w:pPr>
        <w:jc w:val="center"/>
        <w:rPr>
          <w:rFonts w:hint="eastAsia" w:ascii="黑体" w:hAnsi="黑体" w:eastAsia="黑体"/>
          <w:sz w:val="32"/>
          <w:szCs w:val="32"/>
        </w:rPr>
      </w:pPr>
    </w:p>
    <w:p>
      <w:pPr>
        <w:spacing w:line="360" w:lineRule="auto"/>
        <w:jc w:val="center"/>
        <w:rPr>
          <w:rFonts w:hint="eastAsia" w:ascii="黑体" w:hAnsi="黑体" w:eastAsia="黑体"/>
          <w:b w:val="0"/>
          <w:bCs/>
          <w:sz w:val="32"/>
          <w:szCs w:val="32"/>
          <w:lang w:val="en-US" w:eastAsia="zh-CN"/>
        </w:rPr>
        <w:sectPr>
          <w:pgSz w:w="11906" w:h="16838"/>
          <w:pgMar w:top="1440" w:right="1800" w:bottom="1440" w:left="1800" w:header="851" w:footer="992" w:gutter="0"/>
          <w:cols w:space="425" w:num="1"/>
          <w:docGrid w:type="lines" w:linePitch="312" w:charSpace="0"/>
        </w:sectPr>
      </w:pPr>
    </w:p>
    <w:p>
      <w:pPr>
        <w:spacing w:line="360" w:lineRule="auto"/>
        <w:jc w:val="center"/>
        <w:rPr>
          <w:rFonts w:hint="default" w:ascii="黑体" w:hAnsi="黑体" w:eastAsia="黑体"/>
          <w:b w:val="0"/>
          <w:bCs/>
          <w:sz w:val="32"/>
          <w:szCs w:val="32"/>
          <w:lang w:val="en-US" w:eastAsia="zh-CN"/>
        </w:rPr>
      </w:pPr>
      <w:r>
        <w:rPr>
          <w:rFonts w:hint="eastAsia" w:ascii="黑体" w:hAnsi="黑体" w:eastAsia="黑体"/>
          <w:b w:val="0"/>
          <w:bCs/>
          <w:sz w:val="32"/>
          <w:szCs w:val="32"/>
          <w:lang w:val="en-US" w:eastAsia="zh-CN"/>
        </w:rPr>
        <w:t>根植新田园 注入新活力</w:t>
      </w:r>
    </w:p>
    <w:p>
      <w:pPr>
        <w:spacing w:line="360" w:lineRule="auto"/>
        <w:jc w:val="center"/>
        <w:rPr>
          <w:rFonts w:ascii="黑体" w:hAnsi="黑体" w:eastAsia="黑体"/>
          <w:bCs/>
          <w:sz w:val="24"/>
        </w:rPr>
      </w:pPr>
      <w:r>
        <w:rPr>
          <w:rFonts w:hint="eastAsia" w:ascii="黑体" w:hAnsi="黑体" w:eastAsia="黑体"/>
          <w:bCs/>
          <w:sz w:val="24"/>
        </w:rPr>
        <w:t>——202</w:t>
      </w:r>
      <w:r>
        <w:rPr>
          <w:rFonts w:hint="eastAsia" w:ascii="黑体" w:hAnsi="黑体" w:eastAsia="黑体"/>
          <w:bCs/>
          <w:sz w:val="24"/>
          <w:lang w:val="en-US" w:eastAsia="zh-CN"/>
        </w:rPr>
        <w:t>2</w:t>
      </w:r>
      <w:r>
        <w:rPr>
          <w:rFonts w:hint="eastAsia" w:ascii="黑体" w:hAnsi="黑体" w:eastAsia="黑体"/>
          <w:bCs/>
          <w:sz w:val="24"/>
        </w:rPr>
        <w:t>学年嘉定区曹王小学课程计划</w:t>
      </w:r>
    </w:p>
    <w:p>
      <w:pPr>
        <w:widowControl/>
        <w:spacing w:line="360" w:lineRule="auto"/>
        <w:ind w:firstLine="480" w:firstLineChars="200"/>
        <w:jc w:val="left"/>
        <w:rPr>
          <w:rFonts w:ascii="宋体" w:hAnsi="宋体" w:cs="宋体"/>
          <w:sz w:val="24"/>
        </w:rPr>
      </w:pPr>
    </w:p>
    <w:p>
      <w:pPr>
        <w:pageBreakBefore w:val="0"/>
        <w:kinsoku/>
        <w:overflowPunct/>
        <w:topLinePunct w:val="0"/>
        <w:autoSpaceDE/>
        <w:autoSpaceDN/>
        <w:bidi w:val="0"/>
        <w:spacing w:line="500" w:lineRule="exact"/>
        <w:ind w:firstLine="480" w:firstLineChars="200"/>
        <w:rPr>
          <w:rFonts w:ascii="宋体" w:hAnsi="宋体" w:cs="宋体"/>
          <w:sz w:val="24"/>
        </w:rPr>
      </w:pPr>
      <w:r>
        <w:rPr>
          <w:rFonts w:hint="eastAsia" w:ascii="宋体" w:hAnsi="宋体" w:cs="宋体"/>
          <w:sz w:val="24"/>
        </w:rPr>
        <w:t>嘉定区曹王小学根据新课程改革的理念和学校 “新田园教育”核心理念，结合学校十四五发展规划，形成学校全新的课程结构，使百年老校焕发新的教育生命，走上特色鲜明的新优质农村学校教育之路。</w:t>
      </w:r>
    </w:p>
    <w:p>
      <w:pPr>
        <w:pageBreakBefore w:val="0"/>
        <w:kinsoku/>
        <w:overflowPunct/>
        <w:topLinePunct w:val="0"/>
        <w:autoSpaceDE/>
        <w:autoSpaceDN/>
        <w:bidi w:val="0"/>
        <w:spacing w:line="500" w:lineRule="exact"/>
        <w:ind w:firstLine="480" w:firstLineChars="200"/>
        <w:rPr>
          <w:rFonts w:hint="eastAsia" w:ascii="宋体" w:hAnsi="宋体"/>
          <w:sz w:val="24"/>
        </w:rPr>
      </w:pPr>
      <w:r>
        <w:rPr>
          <w:rFonts w:hint="eastAsia" w:ascii="宋体" w:hAnsi="宋体"/>
          <w:sz w:val="24"/>
        </w:rPr>
        <w:t>百年来，代代蒲滨人坚守教育初心，在校训“道法自然 品行方正”指引下，坚持教育求真创新、文化传承创新、课程特色创新，结合地域资源孕育而生“新田园教育”办学理念，旨在培养“有梦想、会学习；亲乡土、会生活；爱科学，会探究；能生存，会合作”的丫丫学子。</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如果说，教育是一片田野，学校就是一片田园，课程，是学生学习的主渠道，也是教师施教的大蓝本。课程建设，是与学校办学特色、学生成长特色、教师发展特色紧密相连的。“小神农课程”，注重“生长性”，提供的是有精神、有科学和有梦的世界，让学生在校园有田野的视野、田园的幸福，让学生的“种子”有</w:t>
      </w:r>
      <w:r>
        <w:rPr>
          <w:rFonts w:hint="eastAsia" w:ascii="宋体" w:hAnsi="宋体"/>
          <w:sz w:val="24"/>
          <w:lang w:val="en-US" w:eastAsia="zh-CN"/>
        </w:rPr>
        <w:t>生长</w:t>
      </w:r>
      <w:r>
        <w:rPr>
          <w:rFonts w:hint="eastAsia" w:ascii="宋体" w:hAnsi="宋体"/>
          <w:sz w:val="24"/>
        </w:rPr>
        <w:t>的时空和养料。几年里，学校获得了不少荣誉。</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特色命名：</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rPr>
        <w:t>全国农村流动儿童示范家长学校</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rPr>
        <w:t>全国品质课程实验校</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全国校园冰雪运动特色校</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lang w:val="en-US" w:eastAsia="zh-CN"/>
        </w:rPr>
        <w:t>上海</w:t>
      </w:r>
      <w:r>
        <w:rPr>
          <w:rFonts w:hint="eastAsia" w:ascii="宋体" w:hAnsi="宋体" w:cs="宋体"/>
          <w:bCs/>
          <w:sz w:val="24"/>
          <w:szCs w:val="21"/>
        </w:rPr>
        <w:t>市引擎计划项目学校</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lang w:val="en-US" w:eastAsia="zh-CN"/>
        </w:rPr>
        <w:t>上海</w:t>
      </w:r>
      <w:r>
        <w:rPr>
          <w:rFonts w:hint="eastAsia" w:ascii="宋体" w:hAnsi="宋体" w:cs="宋体"/>
          <w:bCs/>
          <w:sz w:val="24"/>
          <w:szCs w:val="21"/>
        </w:rPr>
        <w:t>市中小学劳动教育特色校</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lang w:val="en-US" w:eastAsia="zh-CN"/>
        </w:rPr>
        <w:t>上海</w:t>
      </w:r>
      <w:r>
        <w:rPr>
          <w:rFonts w:hint="eastAsia" w:ascii="宋体" w:hAnsi="宋体" w:cs="宋体"/>
          <w:bCs/>
          <w:sz w:val="24"/>
          <w:szCs w:val="21"/>
        </w:rPr>
        <w:t>市安全文明校园</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lang w:val="en-US" w:eastAsia="zh-CN"/>
        </w:rPr>
        <w:t>上海</w:t>
      </w:r>
      <w:r>
        <w:rPr>
          <w:rFonts w:hint="eastAsia" w:ascii="宋体" w:hAnsi="宋体" w:cs="宋体"/>
          <w:bCs/>
          <w:sz w:val="24"/>
          <w:szCs w:val="21"/>
        </w:rPr>
        <w:t>市科技教育工作先进单位</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上海市依法治校示范校</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上海市合唱艺术中心教学实践基地</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上海市中小学（中职）劳动教育特色校</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上海市教育系统关工委“劳模工作室”称号</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嘉定区中小学劳动教育特色校</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嘉定区教育系统办学先进单位</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嘉定区文明校园</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嘉定区科技教育特色学校</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lang w:val="en-US" w:eastAsia="zh-CN"/>
        </w:rPr>
        <w:t>嘉定</w:t>
      </w:r>
      <w:r>
        <w:rPr>
          <w:rFonts w:hint="eastAsia" w:ascii="宋体" w:hAnsi="宋体" w:cs="宋体"/>
          <w:bCs/>
          <w:sz w:val="24"/>
          <w:szCs w:val="21"/>
        </w:rPr>
        <w:t>区科技创新项目实验学校</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嘉定区综合改革示范校</w:t>
      </w:r>
    </w:p>
    <w:p>
      <w:pPr>
        <w:pageBreakBefore w:val="0"/>
        <w:kinsoku/>
        <w:overflowPunct/>
        <w:topLinePunct w:val="0"/>
        <w:autoSpaceDE/>
        <w:autoSpaceDN/>
        <w:bidi w:val="0"/>
        <w:spacing w:line="500" w:lineRule="exact"/>
        <w:ind w:firstLine="480" w:firstLineChars="200"/>
        <w:rPr>
          <w:rFonts w:hint="eastAsia" w:ascii="宋体" w:hAnsi="宋体" w:cs="宋体"/>
          <w:bCs/>
          <w:sz w:val="24"/>
          <w:szCs w:val="21"/>
        </w:rPr>
      </w:pPr>
      <w:r>
        <w:rPr>
          <w:rFonts w:hint="eastAsia" w:ascii="宋体" w:hAnsi="宋体" w:cs="宋体"/>
          <w:bCs/>
          <w:sz w:val="24"/>
          <w:szCs w:val="21"/>
        </w:rPr>
        <w:t>嘉定区家长委员会工作先进集体</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lang w:val="en-US" w:eastAsia="zh-CN"/>
        </w:rPr>
        <w:t>嘉定</w:t>
      </w:r>
      <w:r>
        <w:rPr>
          <w:rFonts w:hint="eastAsia" w:ascii="宋体" w:hAnsi="宋体" w:cs="宋体"/>
          <w:bCs/>
          <w:sz w:val="24"/>
          <w:szCs w:val="21"/>
        </w:rPr>
        <w:t>区新优质项目学校</w:t>
      </w:r>
    </w:p>
    <w:p>
      <w:pPr>
        <w:pageBreakBefore w:val="0"/>
        <w:kinsoku/>
        <w:overflowPunct/>
        <w:topLinePunct w:val="0"/>
        <w:autoSpaceDE/>
        <w:autoSpaceDN/>
        <w:bidi w:val="0"/>
        <w:spacing w:line="500" w:lineRule="exact"/>
        <w:ind w:firstLine="480" w:firstLineChars="200"/>
        <w:rPr>
          <w:rFonts w:ascii="宋体" w:hAnsi="宋体" w:cs="宋体"/>
          <w:bCs/>
          <w:sz w:val="24"/>
          <w:szCs w:val="21"/>
        </w:rPr>
      </w:pPr>
      <w:r>
        <w:rPr>
          <w:rFonts w:hint="eastAsia" w:ascii="宋体" w:hAnsi="宋体" w:cs="宋体"/>
          <w:bCs/>
          <w:sz w:val="24"/>
          <w:szCs w:val="21"/>
          <w:lang w:val="en-US" w:eastAsia="zh-CN"/>
        </w:rPr>
        <w:t>嘉定</w:t>
      </w:r>
      <w:r>
        <w:rPr>
          <w:rFonts w:hint="eastAsia" w:ascii="宋体" w:hAnsi="宋体" w:cs="宋体"/>
          <w:bCs/>
          <w:sz w:val="24"/>
          <w:szCs w:val="21"/>
        </w:rPr>
        <w:t>区教科研工作先进单位</w:t>
      </w:r>
    </w:p>
    <w:p>
      <w:pPr>
        <w:pageBreakBefore w:val="0"/>
        <w:widowControl/>
        <w:kinsoku/>
        <w:overflowPunct/>
        <w:topLinePunct w:val="0"/>
        <w:autoSpaceDE/>
        <w:autoSpaceDN/>
        <w:bidi w:val="0"/>
        <w:spacing w:line="500" w:lineRule="exact"/>
        <w:ind w:firstLine="480" w:firstLineChars="200"/>
        <w:jc w:val="left"/>
        <w:rPr>
          <w:rFonts w:hint="eastAsia"/>
        </w:rPr>
      </w:pPr>
      <w:r>
        <w:rPr>
          <w:rFonts w:hint="eastAsia" w:ascii="宋体" w:hAnsi="宋体" w:cs="宋体"/>
          <w:sz w:val="24"/>
        </w:rPr>
        <w:t>嘉定区综合改革砺新奖</w:t>
      </w:r>
      <w:bookmarkStart w:id="0" w:name="_Toc49541668"/>
    </w:p>
    <w:p>
      <w:pPr>
        <w:pStyle w:val="2"/>
        <w:pageBreakBefore w:val="0"/>
        <w:kinsoku/>
        <w:overflowPunct/>
        <w:topLinePunct w:val="0"/>
        <w:autoSpaceDE/>
        <w:autoSpaceDN/>
        <w:bidi w:val="0"/>
        <w:spacing w:line="500" w:lineRule="exact"/>
        <w:jc w:val="center"/>
        <w:rPr>
          <w:rFonts w:hint="eastAsia"/>
        </w:rPr>
      </w:pPr>
    </w:p>
    <w:p>
      <w:pPr>
        <w:pStyle w:val="2"/>
        <w:pageBreakBefore w:val="0"/>
        <w:kinsoku/>
        <w:overflowPunct/>
        <w:topLinePunct w:val="0"/>
        <w:autoSpaceDE/>
        <w:autoSpaceDN/>
        <w:bidi w:val="0"/>
        <w:spacing w:line="500" w:lineRule="exact"/>
        <w:jc w:val="center"/>
        <w:rPr>
          <w:rFonts w:hint="eastAsia"/>
        </w:rPr>
      </w:pPr>
    </w:p>
    <w:p>
      <w:pPr>
        <w:pStyle w:val="2"/>
        <w:pageBreakBefore w:val="0"/>
        <w:kinsoku/>
        <w:overflowPunct/>
        <w:topLinePunct w:val="0"/>
        <w:autoSpaceDE/>
        <w:autoSpaceDN/>
        <w:bidi w:val="0"/>
        <w:spacing w:line="500" w:lineRule="exact"/>
        <w:jc w:val="center"/>
        <w:rPr>
          <w:rFonts w:hint="eastAsia"/>
        </w:rPr>
      </w:pPr>
    </w:p>
    <w:p>
      <w:pPr>
        <w:pStyle w:val="2"/>
        <w:pageBreakBefore w:val="0"/>
        <w:kinsoku/>
        <w:overflowPunct/>
        <w:topLinePunct w:val="0"/>
        <w:autoSpaceDE/>
        <w:autoSpaceDN/>
        <w:bidi w:val="0"/>
        <w:spacing w:line="500" w:lineRule="exact"/>
        <w:jc w:val="center"/>
        <w:rPr>
          <w:rFonts w:hint="eastAsia"/>
        </w:rPr>
      </w:pPr>
    </w:p>
    <w:p>
      <w:pPr>
        <w:pStyle w:val="2"/>
        <w:pageBreakBefore w:val="0"/>
        <w:kinsoku/>
        <w:overflowPunct/>
        <w:topLinePunct w:val="0"/>
        <w:autoSpaceDE/>
        <w:autoSpaceDN/>
        <w:bidi w:val="0"/>
        <w:spacing w:line="500" w:lineRule="exact"/>
        <w:jc w:val="center"/>
        <w:rPr>
          <w:rFonts w:hint="eastAsia"/>
        </w:rPr>
      </w:pPr>
    </w:p>
    <w:p>
      <w:pPr>
        <w:pStyle w:val="2"/>
        <w:pageBreakBefore w:val="0"/>
        <w:kinsoku/>
        <w:overflowPunct/>
        <w:topLinePunct w:val="0"/>
        <w:autoSpaceDE/>
        <w:autoSpaceDN/>
        <w:bidi w:val="0"/>
        <w:spacing w:line="500" w:lineRule="exact"/>
        <w:jc w:val="center"/>
        <w:rPr>
          <w:rFonts w:hint="eastAsia"/>
        </w:rPr>
      </w:pPr>
    </w:p>
    <w:p>
      <w:pPr>
        <w:pStyle w:val="2"/>
        <w:pageBreakBefore w:val="0"/>
        <w:kinsoku/>
        <w:overflowPunct/>
        <w:topLinePunct w:val="0"/>
        <w:autoSpaceDE/>
        <w:autoSpaceDN/>
        <w:bidi w:val="0"/>
        <w:spacing w:line="500" w:lineRule="exact"/>
        <w:jc w:val="center"/>
        <w:rPr>
          <w:rFonts w:hint="eastAsia"/>
        </w:rPr>
      </w:pPr>
    </w:p>
    <w:p>
      <w:pPr>
        <w:pStyle w:val="2"/>
        <w:pageBreakBefore w:val="0"/>
        <w:kinsoku/>
        <w:overflowPunct/>
        <w:topLinePunct w:val="0"/>
        <w:autoSpaceDE/>
        <w:autoSpaceDN/>
        <w:bidi w:val="0"/>
        <w:spacing w:line="500" w:lineRule="exact"/>
        <w:jc w:val="center"/>
        <w:rPr>
          <w:rFonts w:hint="eastAsia"/>
        </w:rPr>
      </w:pPr>
    </w:p>
    <w:p>
      <w:pPr>
        <w:pageBreakBefore w:val="0"/>
        <w:kinsoku/>
        <w:overflowPunct/>
        <w:topLinePunct w:val="0"/>
        <w:autoSpaceDE/>
        <w:autoSpaceDN/>
        <w:bidi w:val="0"/>
        <w:spacing w:line="500" w:lineRule="exact"/>
        <w:rPr>
          <w:rFonts w:hint="eastAsia"/>
        </w:rPr>
      </w:pPr>
    </w:p>
    <w:p>
      <w:pPr>
        <w:pageBreakBefore w:val="0"/>
        <w:kinsoku/>
        <w:overflowPunct/>
        <w:topLinePunct w:val="0"/>
        <w:autoSpaceDE/>
        <w:autoSpaceDN/>
        <w:bidi w:val="0"/>
        <w:spacing w:line="500" w:lineRule="exact"/>
        <w:rPr>
          <w:rFonts w:hint="eastAsia"/>
        </w:rPr>
      </w:pPr>
    </w:p>
    <w:p>
      <w:pPr>
        <w:pageBreakBefore w:val="0"/>
        <w:kinsoku/>
        <w:overflowPunct/>
        <w:topLinePunct w:val="0"/>
        <w:autoSpaceDE/>
        <w:autoSpaceDN/>
        <w:bidi w:val="0"/>
        <w:spacing w:line="500" w:lineRule="exact"/>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第一部分：背景分析</w:t>
      </w:r>
      <w:bookmarkEnd w:id="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b/>
          <w:bCs/>
          <w:sz w:val="24"/>
          <w:szCs w:val="24"/>
        </w:rPr>
      </w:pPr>
      <w:bookmarkStart w:id="1" w:name="_Toc14713403"/>
      <w:bookmarkStart w:id="2" w:name="_Toc49541669"/>
      <w:r>
        <w:rPr>
          <w:rFonts w:hint="eastAsia"/>
          <w:b/>
          <w:bCs/>
          <w:sz w:val="24"/>
          <w:szCs w:val="24"/>
        </w:rPr>
        <w:t>一、依据</w:t>
      </w:r>
      <w:bookmarkEnd w:id="1"/>
      <w:bookmarkEnd w:id="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1.</w:t>
      </w:r>
      <w:bookmarkStart w:id="3" w:name="_Hlk2259575"/>
      <w:r>
        <w:rPr>
          <w:rFonts w:hint="eastAsia" w:ascii="宋体" w:hAnsi="宋体" w:cs="宋体"/>
          <w:sz w:val="24"/>
        </w:rPr>
        <w:t>教育部《基础教育课程改革纲要（试行）》（教基[2001]17号）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2.</w:t>
      </w:r>
      <w:bookmarkEnd w:id="3"/>
      <w:r>
        <w:rPr>
          <w:rFonts w:hint="eastAsia" w:ascii="宋体" w:hAnsi="宋体" w:cs="宋体"/>
          <w:sz w:val="24"/>
          <w:lang w:val="en-US" w:eastAsia="zh-CN"/>
        </w:rPr>
        <w:t>2022学年度</w:t>
      </w:r>
      <w:r>
        <w:rPr>
          <w:rFonts w:hint="eastAsia" w:ascii="宋体" w:hAnsi="宋体" w:cs="宋体"/>
          <w:sz w:val="24"/>
        </w:rPr>
        <w:t>课程计划</w:t>
      </w:r>
      <w:r>
        <w:rPr>
          <w:rFonts w:hint="eastAsia" w:ascii="宋体" w:hAnsi="宋体" w:cs="宋体"/>
          <w:sz w:val="24"/>
          <w:lang w:val="en-US" w:eastAsia="zh-CN"/>
        </w:rPr>
        <w:t>及其说明</w:t>
      </w:r>
      <w:r>
        <w:rPr>
          <w:rFonts w:hint="eastAsia" w:ascii="宋体" w:hAnsi="宋体" w:cs="宋体"/>
          <w:sz w:val="24"/>
        </w:rPr>
        <w:t>（沪教委基【202</w:t>
      </w:r>
      <w:r>
        <w:rPr>
          <w:rFonts w:ascii="宋体" w:hAnsi="宋体" w:cs="宋体"/>
          <w:sz w:val="24"/>
        </w:rPr>
        <w:t>1</w:t>
      </w: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ascii="宋体" w:hAnsi="宋体" w:cs="宋体"/>
          <w:sz w:val="24"/>
        </w:rPr>
        <w:t>3.</w:t>
      </w:r>
      <w:r>
        <w:rPr>
          <w:rFonts w:hint="eastAsia" w:ascii="宋体" w:hAnsi="宋体" w:cs="宋体"/>
          <w:sz w:val="24"/>
        </w:rPr>
        <w:t>《教学基本要求》（各学科）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《基于课程标准的评价指南》（各学科）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5</w:t>
      </w:r>
      <w:r>
        <w:rPr>
          <w:rFonts w:ascii="宋体" w:hAnsi="宋体" w:cs="宋体"/>
          <w:sz w:val="24"/>
        </w:rPr>
        <w:t>.</w:t>
      </w:r>
      <w:bookmarkStart w:id="4" w:name="_Hlk2259667"/>
      <w:r>
        <w:rPr>
          <w:rFonts w:hint="eastAsia" w:ascii="宋体" w:hAnsi="宋体" w:cs="宋体"/>
          <w:sz w:val="24"/>
        </w:rPr>
        <w:t>《嘉定教育综合改革“砺新计划”实施意见》</w:t>
      </w:r>
      <w:bookmarkEnd w:id="4"/>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6.《上海市教育委员会关于小学阶段实施基于课程标准的教学与评价工作的意见》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《嘉定区小学基于课程标准的教学与评价工作实施方案》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《嘉定区小学基于课程标准的教学与评价区域推进工作方案》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9</w:t>
      </w:r>
      <w:r>
        <w:rPr>
          <w:rFonts w:ascii="宋体" w:hAnsi="宋体" w:cs="宋体"/>
          <w:sz w:val="24"/>
        </w:rPr>
        <w:t>.</w:t>
      </w:r>
      <w:r>
        <w:rPr>
          <w:rFonts w:hint="eastAsia" w:ascii="宋体" w:hAnsi="宋体" w:cs="宋体"/>
          <w:sz w:val="24"/>
        </w:rPr>
        <w:t>《上海市教育委员会关于切实规范中小学课程教学工作深入实施素质教育的若干意见》（沪教委基〔2016〕30号）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《上海市教育委员会关于印发&lt;上海市小学体育兴趣化、初中体育多样化课程改革指导意见(试行）&gt;的通知》（沪教委体〔2018〕36号）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《上海市教育委员会关于在本市小学试行“快乐30分”拓展活动的通知》（沪教委基〔2017〕37号）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《中共中央 国务院关于全面加强新时代大中小学劳动教育的意见》（中发〔2020〕7号）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13.《教育部关于印发&lt;中小学综合实践活动课程指导纲要&gt;的通知》（教材〔2017〕4号）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ascii="宋体" w:hAnsi="宋体" w:cs="宋体"/>
          <w:sz w:val="24"/>
        </w:rPr>
        <w:t>1</w:t>
      </w:r>
      <w:r>
        <w:rPr>
          <w:rFonts w:hint="eastAsia" w:ascii="宋体" w:hAnsi="宋体" w:cs="宋体"/>
          <w:sz w:val="24"/>
        </w:rPr>
        <w:t>4</w:t>
      </w:r>
      <w:r>
        <w:rPr>
          <w:rFonts w:ascii="宋体" w:hAnsi="宋体" w:cs="宋体"/>
          <w:sz w:val="24"/>
        </w:rPr>
        <w:t>.</w:t>
      </w:r>
      <w:r>
        <w:rPr>
          <w:rFonts w:hint="eastAsia" w:ascii="宋体" w:hAnsi="宋体" w:cs="宋体"/>
          <w:sz w:val="24"/>
        </w:rPr>
        <w:t>《中共中央 国务院关于深化教育教学改革全面提高义务教育质量的意见》（中发〔201</w:t>
      </w:r>
      <w:r>
        <w:rPr>
          <w:rFonts w:ascii="宋体" w:hAnsi="宋体" w:cs="宋体"/>
          <w:sz w:val="24"/>
        </w:rPr>
        <w:t>9</w:t>
      </w:r>
      <w:r>
        <w:rPr>
          <w:rFonts w:hint="eastAsia" w:ascii="宋体" w:hAnsi="宋体" w:cs="宋体"/>
          <w:sz w:val="24"/>
        </w:rPr>
        <w:t>〕</w:t>
      </w:r>
      <w:r>
        <w:rPr>
          <w:rFonts w:ascii="宋体" w:hAnsi="宋体" w:cs="宋体"/>
          <w:sz w:val="24"/>
        </w:rPr>
        <w:t>26</w:t>
      </w:r>
      <w:r>
        <w:rPr>
          <w:rFonts w:hint="eastAsia" w:ascii="宋体" w:hAnsi="宋体" w:cs="宋体"/>
          <w:sz w:val="24"/>
        </w:rPr>
        <w:t>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sz w:val="24"/>
          <w:szCs w:val="28"/>
        </w:rPr>
        <w:t>《关于加强义务教育学校作业管理的通知》</w:t>
      </w:r>
      <w:r>
        <w:rPr>
          <w:rFonts w:hint="eastAsia" w:ascii="宋体" w:hAnsi="宋体" w:cs="宋体"/>
          <w:sz w:val="24"/>
        </w:rPr>
        <w:t>（教育厅〔20</w:t>
      </w:r>
      <w:r>
        <w:rPr>
          <w:rFonts w:ascii="宋体" w:hAnsi="宋体" w:cs="宋体"/>
          <w:sz w:val="24"/>
        </w:rPr>
        <w:t>21</w:t>
      </w:r>
      <w:r>
        <w:rPr>
          <w:rFonts w:hint="eastAsia" w:ascii="宋体" w:hAnsi="宋体" w:cs="宋体"/>
          <w:sz w:val="24"/>
        </w:rPr>
        <w:t>〕</w:t>
      </w:r>
      <w:r>
        <w:rPr>
          <w:rFonts w:ascii="宋体" w:hAnsi="宋体" w:cs="宋体"/>
          <w:sz w:val="24"/>
        </w:rPr>
        <w:t>13</w:t>
      </w:r>
      <w:r>
        <w:rPr>
          <w:rFonts w:hint="eastAsia" w:ascii="宋体" w:hAnsi="宋体" w:cs="宋体"/>
          <w:sz w:val="24"/>
        </w:rPr>
        <w:t>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ascii="宋体" w:hAnsi="宋体" w:cs="宋体"/>
          <w:sz w:val="24"/>
        </w:rPr>
        <w:t>16.</w:t>
      </w:r>
      <w:r>
        <w:rPr>
          <w:rFonts w:hint="eastAsia" w:ascii="宋体" w:hAnsi="宋体" w:cs="宋体"/>
          <w:sz w:val="24"/>
        </w:rPr>
        <w:t>充分考查学校的条件、社区资源、教师特点、家长期望及学生需求，结合全体教师与社会资源，完成学校教育目标、落实学校愿景建设学校本位课程。</w:t>
      </w:r>
    </w:p>
    <w:p>
      <w:pPr>
        <w:pageBreakBefore w:val="0"/>
        <w:kinsoku/>
        <w:overflowPunct/>
        <w:topLinePunct w:val="0"/>
        <w:autoSpaceDE/>
        <w:autoSpaceDN/>
        <w:bidi w:val="0"/>
        <w:spacing w:line="500" w:lineRule="exact"/>
        <w:ind w:firstLine="480" w:firstLineChars="200"/>
        <w:jc w:val="left"/>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rPr>
      </w:pPr>
      <w:bookmarkStart w:id="5" w:name="_Toc49541670"/>
      <w:bookmarkStart w:id="6" w:name="_Toc14713404"/>
      <w:r>
        <w:rPr>
          <w:rFonts w:hint="eastAsia"/>
          <w:b/>
          <w:bCs/>
          <w:sz w:val="24"/>
          <w:szCs w:val="24"/>
        </w:rPr>
        <w:t>二、校情概述</w:t>
      </w:r>
      <w:bookmarkEnd w:id="5"/>
      <w:bookmarkEnd w:id="6"/>
    </w:p>
    <w:tbl>
      <w:tblPr>
        <w:tblStyle w:val="11"/>
        <w:tblpPr w:leftFromText="180" w:rightFromText="180" w:vertAnchor="text" w:tblpY="4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7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学校条件</w:t>
            </w:r>
          </w:p>
        </w:tc>
        <w:tc>
          <w:tcPr>
            <w:tcW w:w="7237" w:type="dxa"/>
          </w:tcPr>
          <w:p>
            <w:pPr>
              <w:pageBreakBefore w:val="0"/>
              <w:kinsoku/>
              <w:overflowPunct/>
              <w:topLinePunct w:val="0"/>
              <w:autoSpaceDE/>
              <w:autoSpaceDN/>
              <w:bidi w:val="0"/>
              <w:spacing w:line="500" w:lineRule="exact"/>
              <w:ind w:firstLine="480" w:firstLineChars="200"/>
              <w:jc w:val="left"/>
              <w:rPr>
                <w:rFonts w:ascii="宋体" w:hAnsi="宋体" w:cs="宋体"/>
                <w:sz w:val="24"/>
              </w:rPr>
            </w:pPr>
            <w:r>
              <w:rPr>
                <w:rFonts w:hint="eastAsia" w:ascii="宋体" w:hAnsi="宋体" w:cs="宋体"/>
                <w:sz w:val="24"/>
              </w:rPr>
              <w:t>本校地理位于嘉定区东北部，相对较为偏远，交通不便；随着城市化的发展，本地居民及其子女大批迁入城里生活，本校就读生中</w:t>
            </w:r>
            <w:r>
              <w:rPr>
                <w:rFonts w:ascii="宋体" w:hAnsi="宋体" w:cs="宋体"/>
                <w:sz w:val="24"/>
              </w:rPr>
              <w:t>95</w:t>
            </w:r>
            <w:r>
              <w:rPr>
                <w:rFonts w:hint="eastAsia" w:ascii="宋体" w:hAnsi="宋体" w:cs="宋体"/>
                <w:sz w:val="24"/>
              </w:rPr>
              <w:t>%以上为外来务工子女，且有逐年攀升迹象；在上海市新优质农村教育的项目下，学校教学设备相对齐全，校园环境整洁，绿化面积较大，建设了学校科普教育基地丫丫农场，已有了一定的影响力，目前已升级为“芯农业创客坊”和田园小镇。百年老校平等民主的办学底蕴，2</w:t>
            </w:r>
            <w:r>
              <w:rPr>
                <w:rFonts w:ascii="宋体" w:hAnsi="宋体" w:cs="宋体"/>
                <w:sz w:val="24"/>
              </w:rPr>
              <w:t>018</w:t>
            </w:r>
            <w:r>
              <w:rPr>
                <w:rFonts w:hint="eastAsia" w:ascii="宋体" w:hAnsi="宋体" w:cs="宋体"/>
                <w:sz w:val="24"/>
              </w:rPr>
              <w:t>年9月学校实施一校两部办学，结合近年来学校课程改革中的变革，依托徐行镇丰富的农业科技资源，学校应该是可以依此创设丰富的教育资源。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社区特色</w:t>
            </w:r>
          </w:p>
        </w:tc>
        <w:tc>
          <w:tcPr>
            <w:tcW w:w="7237" w:type="dxa"/>
          </w:tcPr>
          <w:p>
            <w:pPr>
              <w:pageBreakBefore w:val="0"/>
              <w:kinsoku/>
              <w:overflowPunct/>
              <w:topLinePunct w:val="0"/>
              <w:autoSpaceDE/>
              <w:autoSpaceDN/>
              <w:bidi w:val="0"/>
              <w:spacing w:line="500" w:lineRule="exact"/>
              <w:ind w:firstLine="480" w:firstLineChars="200"/>
              <w:jc w:val="left"/>
              <w:rPr>
                <w:rFonts w:ascii="宋体" w:hAnsi="宋体" w:cs="宋体"/>
                <w:sz w:val="24"/>
              </w:rPr>
            </w:pPr>
            <w:r>
              <w:rPr>
                <w:rFonts w:hint="eastAsia" w:ascii="宋体" w:hAnsi="宋体" w:cs="宋体"/>
                <w:sz w:val="24"/>
              </w:rPr>
              <w:t>徐行镇位于</w:t>
            </w:r>
            <w:r>
              <w:fldChar w:fldCharType="begin"/>
            </w:r>
            <w:r>
              <w:instrText xml:space="preserve"> HYPERLINK "http://www.ecraft.cn/shanghai/jiadingqu.htm" </w:instrText>
            </w:r>
            <w:r>
              <w:fldChar w:fldCharType="separate"/>
            </w:r>
            <w:r>
              <w:rPr>
                <w:rFonts w:hint="eastAsia" w:ascii="宋体" w:hAnsi="宋体" w:cs="宋体"/>
                <w:sz w:val="24"/>
              </w:rPr>
              <w:t>嘉定区</w:t>
            </w:r>
            <w:r>
              <w:rPr>
                <w:rFonts w:ascii="宋体" w:hAnsi="宋体" w:cs="宋体"/>
                <w:sz w:val="24"/>
              </w:rPr>
              <w:fldChar w:fldCharType="end"/>
            </w:r>
            <w:r>
              <w:rPr>
                <w:rFonts w:hint="eastAsia" w:ascii="宋体" w:hAnsi="宋体" w:cs="宋体"/>
                <w:sz w:val="24"/>
              </w:rPr>
              <w:t>境东北部，总面积40平方公里，徐行镇是著名的“中国草编之乡”、“中国民间艺术之乡”，历史悠久。除了草编，徐行风筝同样是该镇的一大特色传统文化项目。徐行经济城风筝队走进校园为学生进行课外辅导，传授风筝技艺，培养了数百名掌握一定制放风筝技术的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教师特质</w:t>
            </w:r>
          </w:p>
        </w:tc>
        <w:tc>
          <w:tcPr>
            <w:tcW w:w="7237" w:type="dxa"/>
          </w:tcPr>
          <w:p>
            <w:pPr>
              <w:pageBreakBefore w:val="0"/>
              <w:kinsoku/>
              <w:overflowPunct/>
              <w:topLinePunct w:val="0"/>
              <w:autoSpaceDE/>
              <w:autoSpaceDN/>
              <w:bidi w:val="0"/>
              <w:spacing w:line="500" w:lineRule="exact"/>
              <w:ind w:firstLine="480" w:firstLineChars="200"/>
              <w:jc w:val="left"/>
              <w:rPr>
                <w:rFonts w:ascii="宋体" w:hAnsi="宋体" w:cs="宋体"/>
                <w:sz w:val="24"/>
              </w:rPr>
            </w:pPr>
            <w:r>
              <w:rPr>
                <w:rFonts w:hint="eastAsia" w:ascii="宋体" w:hAnsi="宋体" w:cs="宋体"/>
                <w:sz w:val="24"/>
              </w:rPr>
              <w:t>本校目前有班</w:t>
            </w:r>
            <w:r>
              <w:rPr>
                <w:rFonts w:hint="eastAsia" w:ascii="宋体" w:hAnsi="宋体" w:cs="宋体"/>
                <w:color w:val="000000" w:themeColor="text1"/>
                <w:sz w:val="24"/>
                <w14:textFill>
                  <w14:solidFill>
                    <w14:schemeClr w14:val="tx1"/>
                  </w14:solidFill>
                </w14:textFill>
              </w:rPr>
              <w:t>级</w:t>
            </w: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cs="宋体"/>
                <w:color w:val="000000" w:themeColor="text1"/>
                <w:sz w:val="24"/>
                <w14:textFill>
                  <w14:solidFill>
                    <w14:schemeClr w14:val="tx1"/>
                  </w14:solidFill>
                </w14:textFill>
              </w:rPr>
              <w:t>个，</w:t>
            </w:r>
            <w:r>
              <w:rPr>
                <w:rFonts w:hint="eastAsia" w:ascii="宋体" w:hAnsi="宋体" w:cs="宋体"/>
                <w:sz w:val="24"/>
              </w:rPr>
              <w:t>学生</w:t>
            </w:r>
            <w:r>
              <w:rPr>
                <w:rFonts w:hint="eastAsia" w:ascii="宋体" w:hAnsi="宋体" w:cs="宋体"/>
                <w:sz w:val="24"/>
                <w:lang w:val="en-US" w:eastAsia="zh-CN"/>
              </w:rPr>
              <w:t>641</w:t>
            </w:r>
            <w:r>
              <w:rPr>
                <w:rFonts w:hint="eastAsia" w:ascii="宋体" w:hAnsi="宋体" w:cs="宋体"/>
                <w:sz w:val="24"/>
              </w:rPr>
              <w:t>人，</w:t>
            </w:r>
            <w:r>
              <w:rPr>
                <w:rFonts w:hint="eastAsia" w:ascii="宋体" w:hAnsi="宋体" w:cs="宋体"/>
                <w:sz w:val="24"/>
                <w:highlight w:val="none"/>
                <w:shd w:val="clear" w:color="auto" w:fill="FFFFFF"/>
                <w:lang w:val="en-US" w:eastAsia="zh-CN"/>
              </w:rPr>
              <w:t>专任</w:t>
            </w:r>
            <w:r>
              <w:rPr>
                <w:rFonts w:hint="eastAsia" w:ascii="宋体" w:hAnsi="宋体" w:cs="宋体"/>
                <w:sz w:val="24"/>
                <w:highlight w:val="none"/>
                <w:shd w:val="clear" w:color="auto" w:fill="FFFFFF"/>
              </w:rPr>
              <w:t>教师数</w:t>
            </w:r>
            <w:r>
              <w:rPr>
                <w:rFonts w:hint="eastAsia" w:ascii="宋体" w:hAnsi="宋体" w:cs="宋体"/>
                <w:sz w:val="24"/>
                <w:highlight w:val="none"/>
                <w:shd w:val="clear" w:color="auto" w:fill="FFFFFF"/>
                <w:lang w:val="en-US" w:eastAsia="zh-CN"/>
              </w:rPr>
              <w:t>48人</w:t>
            </w:r>
            <w:r>
              <w:rPr>
                <w:rFonts w:hint="eastAsia" w:ascii="宋体" w:hAnsi="宋体" w:cs="宋体"/>
                <w:color w:val="000000" w:themeColor="text1"/>
                <w:sz w:val="24"/>
                <w:highlight w:val="none"/>
                <w:shd w:val="clear" w:color="auto" w:fill="FFFFFF"/>
                <w14:textFill>
                  <w14:solidFill>
                    <w14:schemeClr w14:val="tx1"/>
                  </w14:solidFill>
                </w14:textFill>
              </w:rPr>
              <w:t>，职工数</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4"/>
                <w:highlight w:val="none"/>
                <w:shd w:val="clear" w:color="auto" w:fill="FFFFFF"/>
                <w14:textFill>
                  <w14:solidFill>
                    <w14:schemeClr w14:val="tx1"/>
                  </w14:solidFill>
                </w14:textFill>
              </w:rPr>
              <w:t>人，本科以上教师数占比</w:t>
            </w:r>
            <w:r>
              <w:rPr>
                <w:rFonts w:hint="eastAsia" w:ascii="宋体" w:hAnsi="宋体" w:cs="宋体"/>
                <w:sz w:val="24"/>
                <w:highlight w:val="none"/>
                <w:shd w:val="clear" w:color="auto" w:fill="FFFFFF"/>
              </w:rPr>
              <w:t>100%；研究生占比1</w:t>
            </w:r>
            <w:r>
              <w:rPr>
                <w:rFonts w:ascii="宋体" w:hAnsi="宋体" w:cs="宋体"/>
                <w:sz w:val="24"/>
                <w:highlight w:val="none"/>
                <w:shd w:val="clear" w:color="auto" w:fill="FFFFFF"/>
              </w:rPr>
              <w:t>8</w:t>
            </w:r>
            <w:r>
              <w:rPr>
                <w:rFonts w:hint="eastAsia" w:ascii="宋体" w:hAnsi="宋体" w:cs="宋体"/>
                <w:sz w:val="24"/>
                <w:highlight w:val="none"/>
                <w:shd w:val="clear" w:color="auto" w:fill="FFFFFF"/>
                <w:lang w:val="en-US" w:eastAsia="zh-CN"/>
              </w:rPr>
              <w:t>.75</w:t>
            </w:r>
            <w:r>
              <w:rPr>
                <w:rFonts w:hint="eastAsia" w:ascii="宋体" w:hAnsi="宋体" w:cs="宋体"/>
                <w:sz w:val="24"/>
                <w:highlight w:val="none"/>
                <w:shd w:val="clear" w:color="auto" w:fill="FFFFFF"/>
              </w:rPr>
              <w:t>%；高级教师占比</w:t>
            </w:r>
            <w:r>
              <w:rPr>
                <w:rFonts w:hint="eastAsia" w:ascii="宋体" w:hAnsi="宋体" w:cs="宋体"/>
                <w:sz w:val="24"/>
                <w:highlight w:val="none"/>
                <w:shd w:val="clear" w:color="auto" w:fill="FFFFFF"/>
                <w:lang w:val="en-US" w:eastAsia="zh-CN"/>
              </w:rPr>
              <w:t>6.25</w:t>
            </w:r>
            <w:r>
              <w:rPr>
                <w:rFonts w:hint="eastAsia" w:ascii="宋体" w:hAnsi="宋体" w:cs="宋体"/>
                <w:sz w:val="24"/>
                <w:highlight w:val="none"/>
                <w:shd w:val="clear" w:color="auto" w:fill="FFFFFF"/>
              </w:rPr>
              <w:t>%</w:t>
            </w:r>
            <w:r>
              <w:rPr>
                <w:rFonts w:hint="eastAsia" w:ascii="宋体" w:hAnsi="宋体" w:cs="宋体"/>
                <w:color w:val="000000" w:themeColor="text1"/>
                <w:sz w:val="24"/>
                <w:highlight w:val="none"/>
                <w:shd w:val="clear" w:color="auto" w:fill="FFFFFF"/>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近年来骨干教师流失较严重，学校引进大批年轻教师。年轻教师经验不足，且有一部分为非师范类教师，学</w:t>
            </w:r>
            <w:r>
              <w:rPr>
                <w:rFonts w:hint="eastAsia" w:ascii="宋体" w:hAnsi="宋体" w:cs="宋体"/>
                <w:sz w:val="24"/>
              </w:rPr>
              <w:t>校教师专业团队的建设十分重要。但全体教职员工都认真做事、尽职恪守、热爱学生。近几年，教师自我更新的专业得到发展，为推进课程改革执行力创造了有力的条件。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家长条件</w:t>
            </w:r>
          </w:p>
        </w:tc>
        <w:tc>
          <w:tcPr>
            <w:tcW w:w="7237" w:type="dxa"/>
          </w:tcPr>
          <w:p>
            <w:pPr>
              <w:pageBreakBefore w:val="0"/>
              <w:kinsoku/>
              <w:overflowPunct/>
              <w:topLinePunct w:val="0"/>
              <w:autoSpaceDE/>
              <w:autoSpaceDN/>
              <w:bidi w:val="0"/>
              <w:spacing w:line="500" w:lineRule="exact"/>
              <w:ind w:firstLine="480" w:firstLineChars="200"/>
              <w:jc w:val="left"/>
              <w:rPr>
                <w:rFonts w:ascii="宋体" w:hAnsi="宋体" w:cs="宋体"/>
                <w:sz w:val="24"/>
              </w:rPr>
            </w:pPr>
            <w:r>
              <w:rPr>
                <w:rFonts w:hint="eastAsia" w:ascii="宋体" w:hAnsi="宋体" w:cs="宋体"/>
                <w:sz w:val="24"/>
              </w:rPr>
              <w:t>本校家长大多数文化水平较低，从事的职业技术含金量较低，为了维持生计终日奔波，家庭教育意识比较淡薄，学生普遍缺乏学前教育，平日生活学习缺乏关注与照顾，部分学生甚至还要帮助父母在家照顾弟弟妹妹。学校关注到家庭指导的力量，成立了家长委员会，并且定期组织家长委员会参与学校的教育教学管理工作</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学生特质</w:t>
            </w:r>
          </w:p>
        </w:tc>
        <w:tc>
          <w:tcPr>
            <w:tcW w:w="7237" w:type="dxa"/>
          </w:tcPr>
          <w:p>
            <w:pPr>
              <w:pageBreakBefore w:val="0"/>
              <w:kinsoku/>
              <w:overflowPunct/>
              <w:topLinePunct w:val="0"/>
              <w:autoSpaceDE/>
              <w:autoSpaceDN/>
              <w:bidi w:val="0"/>
              <w:spacing w:line="500" w:lineRule="exact"/>
              <w:ind w:firstLine="480" w:firstLineChars="200"/>
              <w:jc w:val="left"/>
              <w:rPr>
                <w:rFonts w:ascii="宋体" w:hAnsi="宋体" w:cs="宋体"/>
                <w:sz w:val="24"/>
              </w:rPr>
            </w:pPr>
            <w:r>
              <w:rPr>
                <w:rFonts w:hint="eastAsia" w:ascii="宋体" w:hAnsi="宋体" w:cs="宋体"/>
                <w:sz w:val="24"/>
              </w:rPr>
              <w:t>本校学生中外来务工子女占比最大，其家长的工作不稳定且含金量较低，日常所处环境也相对较差，缺失家庭教育与学前教育：家长忙于生计，并没有时间教育与照顾子女，因此造成了学生行为习惯、学习习惯出现一定偏差，这给学校的管理与教学带来了挑战。与此同时，孩子的生存能力较强，也较灵活、敢于表达自己，这样的情况下，教师的引导和督促显得尤为重要。</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rPr>
      </w:pPr>
      <w:bookmarkStart w:id="7" w:name="_Toc49541671"/>
      <w:bookmarkStart w:id="8" w:name="_Toc14713405"/>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rPr>
      </w:pPr>
      <w:r>
        <w:rPr>
          <w:rFonts w:hint="eastAsia"/>
          <w:b/>
          <w:bCs/>
          <w:sz w:val="24"/>
          <w:szCs w:val="24"/>
        </w:rPr>
        <w:t>三、学校课程发展条件分析（SWOTS）</w:t>
      </w:r>
      <w:bookmarkEnd w:id="7"/>
      <w:bookmarkEnd w:id="8"/>
    </w:p>
    <w:tbl>
      <w:tblPr>
        <w:tblStyle w:val="11"/>
        <w:tblW w:w="8535"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5"/>
        <w:gridCol w:w="1920"/>
        <w:gridCol w:w="1530"/>
        <w:gridCol w:w="1335"/>
        <w:gridCol w:w="126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因素</w:t>
            </w:r>
          </w:p>
        </w:tc>
        <w:tc>
          <w:tcPr>
            <w:tcW w:w="1920"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S（优势）</w:t>
            </w:r>
          </w:p>
        </w:tc>
        <w:tc>
          <w:tcPr>
            <w:tcW w:w="1530"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W（劣势）</w:t>
            </w:r>
          </w:p>
        </w:tc>
        <w:tc>
          <w:tcPr>
            <w:tcW w:w="1335"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O（机会点）</w:t>
            </w:r>
          </w:p>
        </w:tc>
        <w:tc>
          <w:tcPr>
            <w:tcW w:w="1260"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T（威胁点）</w:t>
            </w:r>
          </w:p>
        </w:tc>
        <w:tc>
          <w:tcPr>
            <w:tcW w:w="1485"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S（解决策略）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地理</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因素</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1.土地肥沃，气候温和，雨量充沛。</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2.农业科技、人文资源较丰富。徐行镇是著名的“中国草编之乡”、“中国民间艺术之乡”，历史悠久；近年，农业科技的发展推进地方经济的发展。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3.学校位于偏远的农村地区，空气清新、环境安静，自然生态提供了学习资源。</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1.校门口的道路较窄，上下学期间较拥堵。</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2.出了校门口就是镇上的商业街，小摊小铺较多，管理不够正规，学生比较容易受吸引。</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地域农业科技与人文资源，带动地方的发展，促进地方的繁荣。</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w:t>
            </w:r>
            <w:r>
              <w:rPr>
                <w:rFonts w:ascii="宋体" w:hAnsi="宋体" w:cs="宋体"/>
                <w:sz w:val="24"/>
              </w:rPr>
              <w:t>018</w:t>
            </w:r>
            <w:r>
              <w:rPr>
                <w:rFonts w:hint="eastAsia" w:ascii="宋体" w:hAnsi="宋体" w:cs="宋体"/>
                <w:sz w:val="24"/>
              </w:rPr>
              <w:t>年9月进行一校两部以后，北部校区和南部校区中间有条马路是开放式的，存在安全隐患。</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1.学校门口设置道路路障。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2.加强教师值日护导工作。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3.片区民警来校协助管理。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学校保安全天监控和管理。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学校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规模</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学校</w:t>
            </w:r>
            <w:r>
              <w:rPr>
                <w:rFonts w:hint="eastAsia" w:ascii="宋体" w:hAnsi="宋体" w:cs="宋体"/>
                <w:sz w:val="24"/>
                <w:lang w:val="en-US" w:eastAsia="zh-CN"/>
              </w:rPr>
              <w:t>18</w:t>
            </w:r>
            <w:r>
              <w:rPr>
                <w:rFonts w:hint="eastAsia" w:ascii="宋体" w:hAnsi="宋体" w:cs="宋体"/>
                <w:sz w:val="24"/>
              </w:rPr>
              <w:t>个班，学生</w:t>
            </w:r>
            <w:r>
              <w:rPr>
                <w:rFonts w:hint="eastAsia" w:ascii="宋体" w:hAnsi="宋体" w:cs="宋体"/>
                <w:sz w:val="24"/>
                <w:lang w:val="en-US" w:eastAsia="zh-CN"/>
              </w:rPr>
              <w:t>641</w:t>
            </w:r>
            <w:r>
              <w:rPr>
                <w:rFonts w:hint="eastAsia" w:ascii="宋体" w:hAnsi="宋体" w:cs="宋体"/>
                <w:sz w:val="24"/>
              </w:rPr>
              <w:t>人。</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教师流动较多，外来务工子女流动性大，存在不稳定性。</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争取经费与早日规划，保持一定的比例。</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一校两部，学区范围较广，散落附近几个村庄，学生上学需要家长接送，街上小摊较多。</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设立疏散点，集体排队放学，等候家长来接。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硬件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设备</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目前校舍不够充足，专用教室需要进一步规划。</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专用教室有待改善。</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争取经费与早日规划。</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学校教学因施工、设备维护不当。</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1.加强学校施工期间的安全管理。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2.定期检查设备、等级，加强维修与使用指导。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教师</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资源</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1.教师年轻化，可塑性较强。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2.教师教学认真，自律性强。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3.流动性较强，且新老教师更替没有规律性。</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0"/>
                <w:sz w:val="24"/>
              </w:rPr>
            </w:pPr>
            <w:r>
              <w:rPr>
                <w:rFonts w:hint="eastAsia" w:ascii="宋体" w:hAnsi="宋体" w:cs="宋体"/>
                <w:sz w:val="24"/>
              </w:rPr>
              <w:t>农村学校教育资源的流失是制约我校发展的顽疾，新农村骨干教师流失严重。青年教师占比高，大多从外地引进，学校师资力量较城区学校薄弱，对学校的教育教学的发展影响较大。</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1.青年教师较认真，可塑性比较强。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2.中年教师中有一定的经验较为丰富的教师。</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加强教师文化的建设，激励中年教师的工作引领作用，为青年教师做正确好的引领，形成富有凝聚力的教师专业团队。</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color w:val="000000" w:themeColor="text1"/>
                <w:sz w:val="24"/>
                <w14:textFill>
                  <w14:solidFill>
                    <w14:schemeClr w14:val="tx1"/>
                  </w14:solidFill>
                </w14:textFill>
              </w:rPr>
              <w:t>在区级重点课题《基于校本课程经验促进学科核心素养的“教与学”的研究》引领下开展教师专业发展。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行政</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人员</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1.职责分工明确，发展意识较强。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2.各部门间形成配合的机制。</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有待于提升专业能力与管理水平，达成更富实效的工作运转与合作机制。</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1.各部门有领衔的项目。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2.校长的积极带领。</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专业提升与事务性工作之间的矛盾。</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整合学校工作，形成模式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学生</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1.活泼好动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2.有较强自理能力，具吃苦耐劳精神。</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1.部分学习动机不明确。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2.部分家长实行散养模式。</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1.有吃苦耐劳品质。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2.活泼机灵，对新事物接受能力高。</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大多缺乏学前教育、家庭教育指导，学生行为习惯、学习习惯存在偏差。</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1.根据学情制定教学计划。</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2.学生的行规教育放在重要位置。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家长</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1.家长对学生学习生活情况缺乏关注，不主动关心学校教育教学情况。</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2.学校家委会机制较健全，定期开展活动。</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家庭教育理念、教育方法需要进一步得到指导，家长忙于生计对学生态度比较放任。</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学校以幸福课程为引领深化家庭教育。</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家长文化素质较低，教育观念落后，子女较多，为生计奔波，孩子有时托付邻居、亲戚代管。</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1.加强家庭教育指导，任课教师定期家访。</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2.学校定期进行宣传指导，制定有效方案。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0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4"/>
              </w:rPr>
            </w:pPr>
            <w:r>
              <w:rPr>
                <w:rFonts w:hint="eastAsia" w:ascii="宋体" w:hAnsi="宋体" w:cs="宋体"/>
                <w:sz w:val="24"/>
              </w:rPr>
              <w:t>社区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sz w:val="24"/>
              </w:rPr>
            </w:pPr>
            <w:r>
              <w:rPr>
                <w:rFonts w:hint="eastAsia" w:ascii="宋体" w:hAnsi="宋体" w:cs="宋体"/>
                <w:sz w:val="24"/>
              </w:rPr>
              <w:t>参与</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1.与社区建立四个科普教育基地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2.与社区关系良好</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资源相对有限，相关人员对学生进行指导存有一定难度。</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学校的教育受到社区的关注，定期引进社区的资源推动教学活动。</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社区组织尚未健全，功效有待进一步得到发展。</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sz w:val="24"/>
              </w:rPr>
            </w:pPr>
            <w:r>
              <w:rPr>
                <w:rFonts w:hint="eastAsia" w:ascii="宋体" w:hAnsi="宋体" w:cs="宋体"/>
                <w:sz w:val="24"/>
              </w:rPr>
              <w:t>田园小镇作为载体，制定完善的管理办法，且形成有效地组织。</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4"/>
          <w:szCs w:val="24"/>
        </w:rPr>
      </w:pPr>
      <w:bookmarkStart w:id="9" w:name="_Toc14713406"/>
      <w:bookmarkStart w:id="10" w:name="_Toc49541672"/>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4"/>
          <w:szCs w:val="24"/>
        </w:rPr>
      </w:pPr>
      <w:r>
        <w:rPr>
          <w:rFonts w:hint="eastAsia"/>
          <w:b/>
          <w:bCs/>
          <w:sz w:val="24"/>
          <w:szCs w:val="24"/>
        </w:rPr>
        <w:t>第二部分 学校课程目标</w:t>
      </w:r>
      <w:bookmarkEnd w:id="9"/>
      <w:bookmarkEnd w:id="1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rPr>
      </w:pPr>
      <w:bookmarkStart w:id="11" w:name="_Toc49541673"/>
      <w:r>
        <w:rPr>
          <w:rFonts w:hint="eastAsia"/>
          <w:b/>
          <w:bCs/>
          <w:sz w:val="24"/>
          <w:szCs w:val="24"/>
        </w:rPr>
        <w:t>一、总目标</w:t>
      </w:r>
      <w:bookmarkEnd w:id="11"/>
    </w:p>
    <w:p>
      <w:pPr>
        <w:pageBreakBefore w:val="0"/>
        <w:widowControl/>
        <w:kinsoku/>
        <w:overflowPunct/>
        <w:topLinePunct w:val="0"/>
        <w:autoSpaceDE/>
        <w:autoSpaceDN/>
        <w:bidi w:val="0"/>
        <w:spacing w:line="500" w:lineRule="exact"/>
        <w:ind w:firstLine="480" w:firstLineChars="200"/>
        <w:jc w:val="left"/>
        <w:rPr>
          <w:sz w:val="24"/>
        </w:rPr>
      </w:pPr>
      <w:r>
        <w:rPr>
          <w:rFonts w:hint="eastAsia"/>
          <w:sz w:val="24"/>
        </w:rPr>
        <w:t>教育目的是对受教育者的质量规格的总体要求，是所有教育工作者的出发点和最终归宿。从某种意义上说，所有教育目的都要以课程为中介才能实现。 因此，在课程规划过程中所确定的目标，对于学校教育教学工作具有至关重要的作用。根据国家《基础教育课程改革纲要》与《上海市普通中小学课程方案》提出的培养目标，我们重新审视和挖掘地域独特的自然、人文、科技教育资源，努力建构城市化发展进程中农村学校的校本课程体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rPr>
      </w:pPr>
      <w:bookmarkStart w:id="12" w:name="_Toc49541674"/>
      <w:r>
        <w:rPr>
          <w:rFonts w:hint="eastAsia"/>
          <w:b/>
          <w:bCs/>
          <w:sz w:val="24"/>
          <w:szCs w:val="24"/>
        </w:rPr>
        <w:t>二、课程具体目标</w:t>
      </w:r>
      <w:bookmarkEnd w:id="12"/>
    </w:p>
    <w:p>
      <w:pPr>
        <w:pageBreakBefore w:val="0"/>
        <w:widowControl/>
        <w:kinsoku/>
        <w:overflowPunct/>
        <w:topLinePunct w:val="0"/>
        <w:autoSpaceDE/>
        <w:autoSpaceDN/>
        <w:bidi w:val="0"/>
        <w:spacing w:line="500" w:lineRule="exact"/>
        <w:ind w:firstLine="480" w:firstLineChars="200"/>
        <w:jc w:val="left"/>
        <w:rPr>
          <w:sz w:val="24"/>
        </w:rPr>
      </w:pPr>
      <w:r>
        <w:rPr>
          <w:rFonts w:hint="eastAsia"/>
          <w:sz w:val="24"/>
        </w:rPr>
        <w:t>课程理念：让每一颗种子都茁壮成长。学校提出了“新田园教育”的办学理念，努力把这一学校教育哲学融入“德育、课程、课堂、管理”等领域，我们提出了“会生活的新田园德育”；“会迁移的小神农课程”；“会生长的新田园课堂”；“会栽培的新田园教师”；“会服务的新田园保障”。在新田园教育中，学生不是白纸而是种子，是有着天资特点的生命种子，只要给予充足的“阳光、水份、养料”，每一颗种子都可以获得自我最好的发展。新田园教育是散发着泥土芬芳的教育，是有生命气息的教育，有梦想的教育。</w:t>
      </w:r>
    </w:p>
    <w:p>
      <w:pPr>
        <w:pageBreakBefore w:val="0"/>
        <w:widowControl/>
        <w:kinsoku/>
        <w:overflowPunct/>
        <w:topLinePunct w:val="0"/>
        <w:autoSpaceDE/>
        <w:autoSpaceDN/>
        <w:bidi w:val="0"/>
        <w:spacing w:line="500" w:lineRule="exact"/>
        <w:ind w:firstLine="480" w:firstLineChars="200"/>
        <w:jc w:val="left"/>
        <w:rPr>
          <w:sz w:val="24"/>
        </w:rPr>
      </w:pPr>
      <w:r>
        <w:rPr>
          <w:rFonts w:hint="eastAsia"/>
          <w:sz w:val="24"/>
        </w:rPr>
        <w:t>学生发展目标：学校以培养“有梦想、会学习；亲乡土、会生活；爱科学，会探究；能生存，会合作”的儿童为目标。让每个学生在原有基础上不断进步，让每个学生的个性得以发展，在新田园教育的土壤中茁壮成长。</w:t>
      </w:r>
    </w:p>
    <w:p>
      <w:pPr>
        <w:pageBreakBefore w:val="0"/>
        <w:widowControl/>
        <w:kinsoku/>
        <w:overflowPunct/>
        <w:topLinePunct w:val="0"/>
        <w:autoSpaceDE/>
        <w:autoSpaceDN/>
        <w:bidi w:val="0"/>
        <w:spacing w:line="500" w:lineRule="exact"/>
        <w:ind w:firstLine="480" w:firstLineChars="200"/>
        <w:jc w:val="left"/>
        <w:rPr>
          <w:rFonts w:hint="eastAsia"/>
          <w:sz w:val="24"/>
        </w:rPr>
      </w:pPr>
      <w:r>
        <w:rPr>
          <w:rFonts w:hint="eastAsia"/>
          <w:sz w:val="24"/>
        </w:rPr>
        <w:t>课程建设目标：以“让每一颗种子都茁壮成长”为核心理念，构建科学合理、特色鲜明的学校课程计划，制定“快乐活动日”活动方案，进一步深化“课程的结构性变革”，开发“小神农课程”、“农艺D&amp;T”科创课程，充分利用农村学校现有的基地资源，通过语文、数学、美术、自然科学和人文艺术等课程之间的联系，积极探索各学科学习领域的整体设计，旨在培养学生的科学精神和人文精神；通过各种集体活动开阔学生的视野和胸襟，增强责任担当、问题解决，善于沟通和合作意识；通过各种社团活动和实践体验，使孩子们能够真正的热爱农村、热爱农业、热爱农作，热爱祖国。关注所有生命种子的充分发展，我们打通课内课外空间，提供孩子更多可选择和多样化的课程，让孩子在更多的体验中掌握科学知识，学会快乐生活，为每一个生命种子寻找达到他可能的学习水平的条件，让每一颗种子茁壮成长。</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4"/>
          <w:szCs w:val="24"/>
        </w:rPr>
      </w:pPr>
      <w:bookmarkStart w:id="13" w:name="_Toc49541675"/>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4"/>
          <w:szCs w:val="24"/>
        </w:rPr>
      </w:pPr>
      <w:r>
        <w:rPr>
          <w:rFonts w:hint="eastAsia"/>
          <w:b/>
          <w:bCs/>
          <w:sz w:val="24"/>
          <w:szCs w:val="24"/>
        </w:rPr>
        <w:t>第三部分：学校课程结构</w:t>
      </w:r>
      <w:bookmarkEnd w:id="13"/>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rPr>
      </w:pPr>
      <w:bookmarkStart w:id="14" w:name="_Toc14713413"/>
      <w:bookmarkStart w:id="15" w:name="_Toc49541676"/>
      <w:r>
        <w:rPr>
          <w:rFonts w:hint="eastAsia"/>
          <w:b/>
          <w:bCs/>
          <w:sz w:val="24"/>
          <w:szCs w:val="24"/>
        </w:rPr>
        <w:t>一、依据</w:t>
      </w:r>
      <w:bookmarkEnd w:id="14"/>
      <w:bookmarkEnd w:id="15"/>
    </w:p>
    <w:p>
      <w:pPr>
        <w:pageBreakBefore w:val="0"/>
        <w:kinsoku/>
        <w:overflowPunct/>
        <w:topLinePunct w:val="0"/>
        <w:autoSpaceDE/>
        <w:autoSpaceDN/>
        <w:bidi w:val="0"/>
        <w:spacing w:line="500" w:lineRule="exact"/>
        <w:ind w:firstLine="480" w:firstLineChars="200"/>
        <w:rPr>
          <w:rFonts w:hint="eastAsia" w:ascii="宋体" w:hAnsi="宋体" w:eastAsia="宋体"/>
          <w:sz w:val="24"/>
          <w:lang w:eastAsia="zh-CN"/>
        </w:rPr>
      </w:pPr>
      <w:r>
        <w:rPr>
          <w:rFonts w:hint="eastAsia" w:ascii="宋体" w:hAnsi="宋体"/>
          <w:sz w:val="24"/>
        </w:rPr>
        <w:t>以上海市小学20</w:t>
      </w:r>
      <w:r>
        <w:rPr>
          <w:rFonts w:hint="eastAsia" w:ascii="宋体" w:hAnsi="宋体"/>
          <w:sz w:val="24"/>
          <w:lang w:val="en-US" w:eastAsia="zh-CN"/>
        </w:rPr>
        <w:t>22</w:t>
      </w:r>
      <w:r>
        <w:rPr>
          <w:rFonts w:hint="eastAsia" w:ascii="宋体" w:hAnsi="宋体"/>
          <w:sz w:val="24"/>
        </w:rPr>
        <w:t>学年度课程计划为依据，相关规定为准则，制定基于本校的课程设置。上海市小学20</w:t>
      </w:r>
      <w:r>
        <w:rPr>
          <w:rFonts w:hint="eastAsia" w:ascii="宋体" w:hAnsi="宋体"/>
          <w:sz w:val="24"/>
          <w:lang w:val="en-US" w:eastAsia="zh-CN"/>
        </w:rPr>
        <w:t>22</w:t>
      </w:r>
      <w:r>
        <w:rPr>
          <w:rFonts w:hint="eastAsia" w:ascii="宋体" w:hAnsi="宋体"/>
          <w:sz w:val="24"/>
        </w:rPr>
        <w:t>学年度课程计划见下表</w:t>
      </w:r>
      <w:r>
        <w:rPr>
          <w:rFonts w:hint="eastAsia" w:ascii="宋体" w:hAnsi="宋体"/>
          <w:sz w:val="24"/>
          <w:lang w:eastAsia="zh-CN"/>
        </w:rPr>
        <w:t>：</w:t>
      </w:r>
    </w:p>
    <w:p>
      <w:pPr>
        <w:pageBreakBefore w:val="0"/>
        <w:kinsoku/>
        <w:overflowPunct/>
        <w:topLinePunct w:val="0"/>
        <w:autoSpaceDE/>
        <w:autoSpaceDN/>
        <w:bidi w:val="0"/>
        <w:spacing w:line="500" w:lineRule="exact"/>
        <w:jc w:val="center"/>
        <w:rPr>
          <w:rFonts w:ascii="宋体" w:hAnsi="宋体"/>
          <w:sz w:val="24"/>
          <w:highlight w:val="none"/>
        </w:rPr>
      </w:pPr>
      <w:r>
        <w:rPr>
          <w:rFonts w:hint="eastAsia" w:ascii="宋体" w:hAnsi="宋体" w:cs="宋体"/>
          <w:b/>
          <w:kern w:val="0"/>
          <w:sz w:val="24"/>
          <w:highlight w:val="none"/>
        </w:rPr>
        <w:t>上海市小学20</w:t>
      </w:r>
      <w:r>
        <w:rPr>
          <w:rFonts w:hint="eastAsia" w:ascii="宋体" w:hAnsi="宋体" w:cs="宋体"/>
          <w:b/>
          <w:kern w:val="0"/>
          <w:sz w:val="24"/>
          <w:highlight w:val="none"/>
          <w:lang w:val="en-US" w:eastAsia="zh-CN"/>
        </w:rPr>
        <w:t>22</w:t>
      </w:r>
      <w:r>
        <w:rPr>
          <w:rFonts w:hint="eastAsia" w:ascii="宋体" w:hAnsi="宋体" w:cs="宋体"/>
          <w:b/>
          <w:kern w:val="0"/>
          <w:sz w:val="24"/>
          <w:highlight w:val="none"/>
        </w:rPr>
        <w:t>学年度课程计划</w:t>
      </w:r>
    </w:p>
    <w:tbl>
      <w:tblPr>
        <w:tblStyle w:val="11"/>
        <w:tblW w:w="93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3"/>
        <w:gridCol w:w="1513"/>
        <w:gridCol w:w="645"/>
        <w:gridCol w:w="678"/>
        <w:gridCol w:w="611"/>
        <w:gridCol w:w="644"/>
        <w:gridCol w:w="645"/>
        <w:gridCol w:w="1987"/>
        <w:gridCol w:w="21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6" w:hRule="atLeast"/>
          <w:jc w:val="center"/>
        </w:trPr>
        <w:tc>
          <w:tcPr>
            <w:tcW w:w="2036" w:type="dxa"/>
            <w:gridSpan w:val="2"/>
          </w:tcPr>
          <w:p>
            <w:pPr>
              <w:pageBreakBefore w:val="0"/>
              <w:widowControl/>
              <w:kinsoku/>
              <w:overflowPunct/>
              <w:topLinePunct w:val="0"/>
              <w:autoSpaceDE/>
              <w:autoSpaceDN/>
              <w:bidi w:val="0"/>
              <w:adjustRightInd w:val="0"/>
              <w:snapToGrid w:val="0"/>
              <w:spacing w:line="500" w:lineRule="exact"/>
              <w:ind w:left="1080" w:hanging="1084" w:hangingChars="450"/>
              <w:jc w:val="left"/>
              <w:rPr>
                <w:rFonts w:ascii="宋体" w:hAnsi="宋体" w:cs="宋体"/>
                <w:b/>
                <w:bCs/>
                <w:kern w:val="0"/>
                <w:sz w:val="24"/>
              </w:rPr>
            </w:pPr>
            <w:r>
              <w:rPr>
                <w:rFonts w:ascii="宋体" w:hAnsi="宋体" w:cs="宋体"/>
                <w:b/>
                <w:bCs/>
                <w:kern w:val="0"/>
                <w:sz w:val="24"/>
              </w:rPr>
              <mc:AlternateContent>
                <mc:Choice Requires="wps">
                  <w:drawing>
                    <wp:anchor distT="0" distB="0" distL="114300" distR="114300" simplePos="0" relativeHeight="251662336" behindDoc="0" locked="0" layoutInCell="1" allowOverlap="1">
                      <wp:simplePos x="0" y="0"/>
                      <wp:positionH relativeFrom="column">
                        <wp:posOffset>648970</wp:posOffset>
                      </wp:positionH>
                      <wp:positionV relativeFrom="paragraph">
                        <wp:posOffset>5715</wp:posOffset>
                      </wp:positionV>
                      <wp:extent cx="579120" cy="750570"/>
                      <wp:effectExtent l="3810" t="3175" r="7620" b="8255"/>
                      <wp:wrapNone/>
                      <wp:docPr id="18" name="任意多边形: 形状 2"/>
                      <wp:cNvGraphicFramePr/>
                      <a:graphic xmlns:a="http://schemas.openxmlformats.org/drawingml/2006/main">
                        <a:graphicData uri="http://schemas.microsoft.com/office/word/2010/wordprocessingShape">
                          <wps:wsp>
                            <wps:cNvSpPr/>
                            <wps:spPr bwMode="auto">
                              <a:xfrm>
                                <a:off x="0" y="0"/>
                                <a:ext cx="579120" cy="750570"/>
                              </a:xfrm>
                              <a:custGeom>
                                <a:avLst/>
                                <a:gdLst>
                                  <a:gd name="T0" fmla="*/ 0 w 1462"/>
                                  <a:gd name="T1" fmla="*/ 0 h 1313"/>
                                  <a:gd name="T2" fmla="*/ 1462 w 1462"/>
                                  <a:gd name="T3" fmla="*/ 1313 h 1313"/>
                                </a:gdLst>
                                <a:ahLst/>
                                <a:cxnLst>
                                  <a:cxn ang="0">
                                    <a:pos x="T0" y="T1"/>
                                  </a:cxn>
                                  <a:cxn ang="0">
                                    <a:pos x="T2" y="T3"/>
                                  </a:cxn>
                                </a:cxnLst>
                                <a:rect l="0" t="0" r="r" b="b"/>
                                <a:pathLst>
                                  <a:path w="1462" h="1313">
                                    <a:moveTo>
                                      <a:pt x="0" y="0"/>
                                    </a:moveTo>
                                    <a:lnTo>
                                      <a:pt x="1462" y="1313"/>
                                    </a:lnTo>
                                  </a:path>
                                </a:pathLst>
                              </a:cu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51.1pt;margin-top:0.45pt;height:59.1pt;width:45.6pt;z-index:251662336;mso-width-relative:page;mso-height-relative:page;" fillcolor="#FFFFFF" filled="t" stroked="t" coordsize="1462,1313" o:gfxdata="UEsDBAoAAAAAAIdO4kAAAAAAAAAAAAAAAAAEAAAAZHJzL1BLAwQUAAAACACHTuJApOYyCdUAAAAI&#10;AQAADwAAAGRycy9kb3ducmV2LnhtbE2PzUvEMBDF74L/QxjBi7hJuiK2Nl1QcI/iVsFr2kw/sJmU&#10;Jvv13zt70ts83uPN75Wbk5/EAZc4BjKgVwoEUhvcSL2Br8+3+ycQMVlydgqEBs4YYVNdX5W2cOFI&#10;OzzUqRdcQrGwBoaU5kLK2A7obVyFGYm9LizeJpZLL91ij1zuJ5kp9Si9HYk/DHbG1wHbn3rvDaR+&#10;58/ypf5w3brbfi/bO924d2Nub7R6BpHwlP7CcMFndKiYqQl7clFMrFWWcdRADuJi5+sHEA0fOtcg&#10;q1L+H1D9AlBLAwQUAAAACACHTuJA8kdQ980CAAAGBgAADgAAAGRycy9lMm9Eb2MueG1srVTNbtQw&#10;EL4j8Q6Wj0g0yf50adRshVoVIfFTqcsDeB1nE8mxje1stpw5cemdI+IZkFAFT0OBx2BsZ3ezC5V6&#10;YA/ZcWbyzTffjOf4ZFVztGTaVFJkODmIMWKCyrwSiwy/mZ0/foKRsUTkhEvBMnzFDD6ZPnxw3KqU&#10;DWQpec40AhBh0lZluLRWpVFkaMlqYg6kYgKchdQ1sXDUiyjXpAX0mkeDOD6MWqlzpSVlxsDbs+DE&#10;HaK+D6AsioqyM0mbmgkbUDXjxEJJpqyUwVPPtigYta+LwjCLeIahUuufkATsuXtG02OSLjRRZUU7&#10;CuQ+FPZqqkklIOkG6oxYghpd/QVVV1RLIwt7QGUdhUK8IlBFEu9pc1kSxXwtILVRG9HN/4Olr5YX&#10;GlU5TAL0XZAaOv7j5ubn++vbzx9/f/96++1TiuDx68MXNHBqtcqk8NGlutDdyYCJ5u1LmcO3pLHS&#10;C7EqdO0EgRLRyut9tdGbrSyi8HI8OUoG0AkKrsk4Hk98PyKSrj+mjbHPmPRAZPnC2NCuHCwvdt4x&#10;ngFIUXPo3KMIxahFyejQs4WGbGKSnZgSJcNk2PV/EzPoxTiMO6CG/TCAQVs0YL9Y8yPlmjJdiY4z&#10;WIi4qxZ7mZQ0Th5XAIgwSxwhgIAoV+AdwcDSBXv26+Dw3yXRMPf7E6/9xM9DxYpYx83lcCZqof9O&#10;MlSC4XRxnlou2Uz6GLvXQ8i29XLRjwo4wG+tL8SGCDBcMl/ghoDj3euykbzKzyvOXVqjF/NTrtGS&#10;wO09979On50wLhz/o/Fg7Gnv+HYgYv/7F4SWjciD9ByUj9yUu7kO8z6X+RXMuJZhfcDyBKOU+h1G&#10;LayODJu3DdEMI/5cwN08SkYj6Kf1h9F44kZc9z3zvocIClAZthjmwpmnNuynRulqUUKmxJcl5FO4&#10;W0Xl7oDnF1h1B1gPXtdulbn90z/7qO36n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pOYyCdUA&#10;AAAIAQAADwAAAAAAAAABACAAAAAiAAAAZHJzL2Rvd25yZXYueG1sUEsBAhQAFAAAAAgAh07iQPJH&#10;UPfNAgAABgYAAA4AAAAAAAAAAQAgAAAAJAEAAGRycy9lMm9Eb2MueG1sUEsFBgAAAAAGAAYAWQEA&#10;AGMGAAAAAA==&#10;" path="m0,0l1462,1313e">
                      <v:path o:connectlocs="0,0;579120,750570" o:connectangles="0,0"/>
                      <v:fill on="t" focussize="0,0"/>
                      <v:stroke color="#000000" joinstyle="round"/>
                      <v:imagedata o:title=""/>
                      <o:lock v:ext="edit" aspectratio="f"/>
                    </v:shape>
                  </w:pict>
                </mc:Fallback>
              </mc:AlternateContent>
            </w:r>
            <w:r>
              <w:rPr>
                <w:rFonts w:hint="eastAsia" w:ascii="宋体" w:hAnsi="宋体" w:cs="宋体"/>
                <w:b/>
                <w:bCs/>
                <w:kern w:val="0"/>
                <w:sz w:val="24"/>
              </w:rPr>
              <w:t xml:space="preserve">           年级     </w:t>
            </w:r>
          </w:p>
          <w:p>
            <w:pPr>
              <w:pageBreakBefore w:val="0"/>
              <w:widowControl/>
              <w:kinsoku/>
              <w:overflowPunct/>
              <w:topLinePunct w:val="0"/>
              <w:autoSpaceDE/>
              <w:autoSpaceDN/>
              <w:bidi w:val="0"/>
              <w:adjustRightInd w:val="0"/>
              <w:snapToGrid w:val="0"/>
              <w:spacing w:line="500" w:lineRule="exact"/>
              <w:ind w:firstLine="723" w:firstLineChars="300"/>
              <w:jc w:val="left"/>
              <w:rPr>
                <w:rFonts w:ascii="宋体" w:hAnsi="宋体" w:cs="宋体"/>
                <w:b/>
                <w:bCs/>
                <w:kern w:val="0"/>
                <w:sz w:val="24"/>
              </w:rPr>
            </w:pPr>
            <w:r>
              <w:rPr>
                <w:rFonts w:ascii="宋体" w:hAnsi="宋体" w:cs="宋体"/>
                <w:b/>
                <w:bCs/>
                <w:kern w:val="0"/>
                <w:sz w:val="24"/>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30480</wp:posOffset>
                      </wp:positionV>
                      <wp:extent cx="1295400" cy="586740"/>
                      <wp:effectExtent l="1905" t="4445" r="17145" b="18415"/>
                      <wp:wrapNone/>
                      <wp:docPr id="17" name="任意多边形: 形状 1"/>
                      <wp:cNvGraphicFramePr/>
                      <a:graphic xmlns:a="http://schemas.openxmlformats.org/drawingml/2006/main">
                        <a:graphicData uri="http://schemas.microsoft.com/office/word/2010/wordprocessingShape">
                          <wps:wsp>
                            <wps:cNvSpPr/>
                            <wps:spPr bwMode="auto">
                              <a:xfrm>
                                <a:off x="0" y="0"/>
                                <a:ext cx="1295400" cy="586740"/>
                              </a:xfrm>
                              <a:custGeom>
                                <a:avLst/>
                                <a:gdLst>
                                  <a:gd name="T0" fmla="*/ 3428 w 3428"/>
                                  <a:gd name="T1" fmla="*/ 776 h 776"/>
                                  <a:gd name="T2" fmla="*/ 0 w 3428"/>
                                  <a:gd name="T3" fmla="*/ 0 h 776"/>
                                </a:gdLst>
                                <a:ahLst/>
                                <a:cxnLst>
                                  <a:cxn ang="0">
                                    <a:pos x="T0" y="T1"/>
                                  </a:cxn>
                                  <a:cxn ang="0">
                                    <a:pos x="T2" y="T3"/>
                                  </a:cxn>
                                </a:cxnLst>
                                <a:rect l="0" t="0" r="r" b="b"/>
                                <a:pathLst>
                                  <a:path w="3428" h="776">
                                    <a:moveTo>
                                      <a:pt x="3428" y="776"/>
                                    </a:moveTo>
                                    <a:lnTo>
                                      <a:pt x="0" y="0"/>
                                    </a:lnTo>
                                  </a:path>
                                </a:pathLst>
                              </a:cu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5.35pt;margin-top:2.4pt;height:46.2pt;width:102pt;z-index:251663360;mso-width-relative:page;mso-height-relative:page;" fillcolor="#FFFFFF" filled="t" stroked="t" coordsize="3428,776" o:gfxdata="UEsDBAoAAAAAAIdO4kAAAAAAAAAAAAAAAAAEAAAAZHJzL1BLAwQUAAAACACHTuJAQwvSvdYAAAAI&#10;AQAADwAAAGRycy9kb3ducmV2LnhtbE2PS2/CMBCE75X4D9Yi9QZ2oOWRZsMB1J5pWsrVxEsSNV5H&#10;sXm0v77mRI+jGc18k62uthVn6n3jGCEZKxDEpTMNVwifH6+jBQgfNBvdOiaEH/KwygcPmU6Nu/A7&#10;nYtQiVjCPtUIdQhdKqUva7Laj11HHL2j660OUfaVNL2+xHLbyolSM2l1w3Gh1h2tayq/i5NFoNlb&#10;sX3ebKvd3hWL36+QOMs7xMdhol5ABLqGexhu+BEd8sh0cCc2XrQIo0TNYxThKT64+cvpFMQBYTmf&#10;gMwz+f9A/gdQSwMEFAAAAAgAh07iQDVAywnMAgAAAgYAAA4AAABkcnMvZTJvRG9jLnhtbK1UzW7U&#10;MBC+I/EOlo9IND/d7bZRsxVqVYTET6UuD+B1nE0kxza2s9ly5sSFO0fEMyChCp6GAo/B2M5uswuV&#10;eiAHx858mfnmm/Ecn6wajpZMm1qKHCd7MUZMUFnUYpHj17Pzx4cYGUtEQbgULMdXzOCT6cMHx53K&#10;WCoryQumETgRJutUjitrVRZFhlasIWZPKibAWErdEAtHvYgKTTrw3vAojeODqJO6UFpSZgx8PQtG&#10;3HvU93Eoy7Km7EzStmHCBq+acWIhJVPVyuCpZ1uWjNpXZWmYRTzHkKn1KwSB/dyt0fSYZAtNVFXT&#10;ngK5D4WdnBpSCwi6cXVGLEGtrv9y1dRUSyNLu0dlE4VEvCKQRRLvaHNZEcV8LiC1URvRzf9zS18u&#10;LzSqC+iECUaCNFDxH9fXP999uPn88ff3rzffPmUIll/vv6DEqdUpk8FPl+pC9ycDWzTvXsgC/iWt&#10;lV6IVakbJwikiFZe76uN3mxlEYWPSXo0HsVQCgq28eHBZOQLEpFs/TdtjX3KpPdEls+NDfUqYOfV&#10;LnrKM3BSNhxK9yhC+6P0EHX+1dd3A0sGsMnkAFUI1l1QOgDFdzja38Js3AD1xZocqdZ86Ur0hGGH&#10;iLtosRdJSePEcexBgZkXGFwAymV3BxjoOfC+o70Gh3cfREPX7/a79v0+D6kqYh03F8NtUZdjpxlG&#10;VY6dHs7QyCWbSQ+xjmMAQOBeMIh4C+FiCA3ZrEsZbAB3oTzjTXjHelBgI3ldnNecu6hGL+anXKMl&#10;gZt77p8+4S0YF4790Tgde9Zbti0XsX/+5ULLVhRBSw66R67DXU+HXp/L4gr6W8swOmBwwqaS+i1G&#10;HYyNHJs3LdEMI/5MwL08SkbQxMj6w2g8SeGgh5b50EIEBVc5thi6wm1PbZhNrdL1ooJIiU9LyCdw&#10;r8ratb/nF1j1BxgNXtd+jLnZMzx71O3on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QwvSvdYA&#10;AAAIAQAADwAAAAAAAAABACAAAAAiAAAAZHJzL2Rvd25yZXYueG1sUEsBAhQAFAAAAAgAh07iQDVA&#10;ywnMAgAAAgYAAA4AAAAAAAAAAQAgAAAAJQEAAGRycy9lMm9Eb2MueG1sUEsFBgAAAAAGAAYAWQEA&#10;AGMGAAAAAA==&#10;" path="m3428,776l0,0e">
                      <v:path o:connectlocs="1295400,586740;0,0" o:connectangles="0,0"/>
                      <v:fill on="t" focussize="0,0"/>
                      <v:stroke color="#000000" joinstyle="round"/>
                      <v:imagedata o:title=""/>
                      <o:lock v:ext="edit" aspectratio="f"/>
                    </v:shape>
                  </w:pict>
                </mc:Fallback>
              </mc:AlternateContent>
            </w:r>
            <w:r>
              <w:rPr>
                <w:rFonts w:hint="eastAsia" w:ascii="宋体" w:hAnsi="宋体" w:cs="宋体"/>
                <w:b/>
                <w:bCs/>
                <w:kern w:val="0"/>
                <w:sz w:val="24"/>
              </w:rPr>
              <w:t>周课时</w:t>
            </w:r>
          </w:p>
          <w:p>
            <w:pPr>
              <w:pageBreakBefore w:val="0"/>
              <w:widowControl/>
              <w:kinsoku/>
              <w:overflowPunct/>
              <w:topLinePunct w:val="0"/>
              <w:autoSpaceDE/>
              <w:autoSpaceDN/>
              <w:bidi w:val="0"/>
              <w:adjustRightInd w:val="0"/>
              <w:snapToGrid w:val="0"/>
              <w:spacing w:line="500" w:lineRule="exact"/>
              <w:jc w:val="left"/>
              <w:rPr>
                <w:rFonts w:ascii="宋体" w:hAnsi="宋体" w:cs="宋体"/>
                <w:b/>
                <w:bCs/>
                <w:kern w:val="0"/>
                <w:sz w:val="24"/>
              </w:rPr>
            </w:pPr>
            <w:r>
              <w:rPr>
                <w:rFonts w:hint="eastAsia" w:ascii="宋体" w:hAnsi="宋体" w:cs="宋体"/>
                <w:b/>
                <w:bCs/>
                <w:kern w:val="0"/>
                <w:sz w:val="24"/>
              </w:rPr>
              <w:t>课程、科目</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bCs/>
                <w:kern w:val="0"/>
                <w:sz w:val="24"/>
              </w:rPr>
            </w:pPr>
            <w:r>
              <w:rPr>
                <w:rFonts w:hint="eastAsia" w:ascii="宋体" w:hAnsi="宋体" w:cs="宋体"/>
                <w:b/>
                <w:bCs/>
                <w:kern w:val="0"/>
                <w:sz w:val="24"/>
              </w:rPr>
              <w:t>一</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bCs/>
                <w:kern w:val="0"/>
                <w:sz w:val="24"/>
              </w:rPr>
            </w:pPr>
            <w:r>
              <w:rPr>
                <w:rFonts w:hint="eastAsia" w:ascii="宋体" w:hAnsi="宋体" w:cs="宋体"/>
                <w:b/>
                <w:bCs/>
                <w:kern w:val="0"/>
                <w:sz w:val="24"/>
              </w:rPr>
              <w:t>二</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bCs/>
                <w:kern w:val="0"/>
                <w:sz w:val="24"/>
              </w:rPr>
            </w:pPr>
            <w:r>
              <w:rPr>
                <w:rFonts w:hint="eastAsia" w:ascii="宋体" w:hAnsi="宋体" w:cs="宋体"/>
                <w:b/>
                <w:bCs/>
                <w:kern w:val="0"/>
                <w:sz w:val="24"/>
              </w:rPr>
              <w:t>三</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bCs/>
                <w:kern w:val="0"/>
                <w:sz w:val="24"/>
              </w:rPr>
            </w:pPr>
            <w:r>
              <w:rPr>
                <w:rFonts w:hint="eastAsia" w:ascii="宋体" w:hAnsi="宋体" w:cs="宋体"/>
                <w:b/>
                <w:bCs/>
                <w:kern w:val="0"/>
                <w:sz w:val="24"/>
              </w:rPr>
              <w:t>四</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bCs/>
                <w:kern w:val="0"/>
                <w:sz w:val="24"/>
              </w:rPr>
            </w:pPr>
            <w:r>
              <w:rPr>
                <w:rFonts w:hint="eastAsia" w:ascii="宋体" w:hAnsi="宋体" w:cs="宋体"/>
                <w:b/>
                <w:bCs/>
                <w:kern w:val="0"/>
                <w:sz w:val="24"/>
              </w:rPr>
              <w:t>五</w:t>
            </w:r>
          </w:p>
        </w:tc>
        <w:tc>
          <w:tcPr>
            <w:tcW w:w="4087"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bCs/>
                <w:kern w:val="0"/>
                <w:sz w:val="24"/>
              </w:rPr>
            </w:pPr>
            <w:r>
              <w:rPr>
                <w:rFonts w:hint="eastAsia" w:ascii="宋体" w:hAnsi="宋体" w:cs="宋体"/>
                <w:b/>
                <w:bCs/>
                <w:kern w:val="0"/>
                <w:sz w:val="24"/>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23" w:type="dxa"/>
            <w:vMerge w:val="restart"/>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基</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 </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础</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 </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型</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 </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课</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 </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程</w:t>
            </w: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语    文</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9</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9</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6</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6</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6</w:t>
            </w:r>
          </w:p>
        </w:tc>
        <w:tc>
          <w:tcPr>
            <w:tcW w:w="4087" w:type="dxa"/>
            <w:gridSpan w:val="2"/>
            <w:vMerge w:val="restart"/>
            <w:vAlign w:val="center"/>
          </w:tcPr>
          <w:p>
            <w:pPr>
              <w:pageBreakBefore w:val="0"/>
              <w:widowControl/>
              <w:numPr>
                <w:ilvl w:val="0"/>
                <w:numId w:val="1"/>
              </w:numPr>
              <w:kinsoku/>
              <w:overflowPunct/>
              <w:topLinePunct w:val="0"/>
              <w:autoSpaceDE/>
              <w:autoSpaceDN/>
              <w:bidi w:val="0"/>
              <w:adjustRightInd w:val="0"/>
              <w:snapToGrid w:val="0"/>
              <w:spacing w:line="500" w:lineRule="exac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小学低年级、高年级《习近平新时代中国特色社会主义思想学生读本》分别安排在三年级上学期、五年级上学期，作为必修内容，利用道德与法治课、班团队课、校本课程等统筹安排课时，平均每周1课时。</w:t>
            </w:r>
          </w:p>
          <w:p>
            <w:pPr>
              <w:pageBreakBefore w:val="0"/>
              <w:widowControl/>
              <w:numPr>
                <w:ilvl w:val="0"/>
                <w:numId w:val="1"/>
              </w:numPr>
              <w:kinsoku/>
              <w:overflowPunct/>
              <w:topLinePunct w:val="0"/>
              <w:autoSpaceDE/>
              <w:autoSpaceDN/>
              <w:bidi w:val="0"/>
              <w:adjustRightInd w:val="0"/>
              <w:snapToGrid w:val="0"/>
              <w:spacing w:line="500" w:lineRule="exact"/>
              <w:jc w:val="left"/>
              <w:rPr>
                <w:rFonts w:ascii="宋体" w:hAnsi="宋体" w:cs="宋体"/>
                <w:kern w:val="0"/>
                <w:sz w:val="24"/>
                <w:highlight w:val="none"/>
              </w:rPr>
            </w:pPr>
            <w:r>
              <w:rPr>
                <w:rFonts w:hint="eastAsia" w:ascii="宋体" w:hAnsi="宋体" w:cs="宋体"/>
                <w:kern w:val="0"/>
                <w:sz w:val="24"/>
                <w:highlight w:val="none"/>
              </w:rPr>
              <w:t>一年级入学初设置4周左右的学习准备（适应）期。</w:t>
            </w:r>
            <w:r>
              <w:rPr>
                <w:rFonts w:hint="eastAsia" w:ascii="宋体" w:hAnsi="宋体" w:cs="宋体"/>
                <w:kern w:val="0"/>
                <w:sz w:val="24"/>
                <w:highlight w:val="none"/>
                <w:lang w:val="en-US" w:eastAsia="zh-CN"/>
              </w:rPr>
              <w:t>一年级加强小幼衔接教育。</w:t>
            </w:r>
          </w:p>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）语文课程每周安排1课时用于写字教学。</w:t>
            </w:r>
          </w:p>
          <w:p>
            <w:pPr>
              <w:pageBreakBefore w:val="0"/>
              <w:widowControl/>
              <w:kinsoku/>
              <w:overflowPunct/>
              <w:topLinePunct w:val="0"/>
              <w:autoSpaceDE/>
              <w:autoSpaceDN/>
              <w:bidi w:val="0"/>
              <w:adjustRightInd w:val="0"/>
              <w:snapToGrid w:val="0"/>
              <w:spacing w:line="500" w:lineRule="exact"/>
              <w:jc w:val="left"/>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4</w:t>
            </w:r>
            <w:r>
              <w:rPr>
                <w:rFonts w:hint="eastAsia" w:ascii="宋体" w:hAnsi="宋体" w:cs="宋体"/>
                <w:kern w:val="0"/>
                <w:sz w:val="24"/>
                <w:highlight w:val="none"/>
              </w:rPr>
              <w:t>）虹口区和杨浦区</w:t>
            </w:r>
            <w:r>
              <w:rPr>
                <w:rFonts w:hint="eastAsia" w:ascii="宋体" w:hAnsi="宋体" w:cs="宋体"/>
                <w:kern w:val="0"/>
                <w:sz w:val="24"/>
                <w:highlight w:val="none"/>
                <w:lang w:val="en-US" w:eastAsia="zh-CN"/>
              </w:rPr>
              <w:t>小学</w:t>
            </w:r>
            <w:r>
              <w:rPr>
                <w:rFonts w:hint="eastAsia" w:ascii="宋体" w:hAnsi="宋体" w:cs="宋体"/>
                <w:kern w:val="0"/>
                <w:sz w:val="24"/>
                <w:highlight w:val="none"/>
              </w:rPr>
              <w:t>以及其他各区部分试验小学继续进行科学与技术课程的试验，替代自然与劳动技术课程。科学与技术课程一至五年级的周课时分别为2，2，2，3，3。</w:t>
            </w:r>
          </w:p>
          <w:p>
            <w:pPr>
              <w:pageBreakBefore w:val="0"/>
              <w:widowControl/>
              <w:kinsoku/>
              <w:overflowPunct/>
              <w:topLinePunct w:val="0"/>
              <w:autoSpaceDE/>
              <w:autoSpaceDN/>
              <w:bidi w:val="0"/>
              <w:adjustRightInd w:val="0"/>
              <w:snapToGrid w:val="0"/>
              <w:spacing w:line="500" w:lineRule="exac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5）依托劳动技术课程，可与社区服务、社会实践等整合实施，落实劳动教育要求。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数    学</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4</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4</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5</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5</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外    语</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4</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5</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5</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1" w:hRule="atLeast"/>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自    然</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bookmarkStart w:id="16" w:name="OLE_LINK1"/>
            <w:r>
              <w:rPr>
                <w:rFonts w:hint="eastAsia" w:ascii="宋体" w:hAnsi="宋体" w:cs="宋体"/>
                <w:kern w:val="0"/>
                <w:sz w:val="24"/>
              </w:rPr>
              <w:t>道德与法治</w:t>
            </w:r>
            <w:bookmarkEnd w:id="16"/>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唱游/音乐</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美    术</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体育与健身</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5</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5</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5</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5</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5</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信息科技</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劳动技术</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周课时数</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7</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9</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30</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30</w:t>
            </w:r>
          </w:p>
        </w:tc>
        <w:tc>
          <w:tcPr>
            <w:tcW w:w="4087" w:type="dxa"/>
            <w:gridSpan w:val="2"/>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54" w:hRule="atLeast"/>
          <w:jc w:val="center"/>
        </w:trPr>
        <w:tc>
          <w:tcPr>
            <w:tcW w:w="523" w:type="dxa"/>
            <w:vMerge w:val="restart"/>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拓</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展</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型</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课</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程</w:t>
            </w: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兴趣活动</w:t>
            </w:r>
          </w:p>
          <w:p>
            <w:pPr>
              <w:pageBreakBefore w:val="0"/>
              <w:widowControl/>
              <w:kinsoku/>
              <w:overflowPunct/>
              <w:topLinePunct w:val="0"/>
              <w:autoSpaceDE/>
              <w:autoSpaceDN/>
              <w:bidi w:val="0"/>
              <w:adjustRightInd w:val="0"/>
              <w:snapToGrid w:val="0"/>
              <w:spacing w:line="500" w:lineRule="exact"/>
              <w:ind w:left="-166" w:leftChars="-79" w:right="-168" w:rightChars="-80"/>
              <w:jc w:val="center"/>
              <w:rPr>
                <w:rFonts w:ascii="宋体" w:hAnsi="宋体" w:cs="宋体"/>
                <w:kern w:val="0"/>
                <w:sz w:val="24"/>
              </w:rPr>
            </w:pPr>
            <w:r>
              <w:rPr>
                <w:rFonts w:hint="eastAsia" w:ascii="宋体" w:hAnsi="宋体" w:cs="宋体"/>
                <w:kern w:val="0"/>
                <w:sz w:val="24"/>
              </w:rPr>
              <w:t>（含体育活动）</w:t>
            </w:r>
          </w:p>
        </w:tc>
        <w:tc>
          <w:tcPr>
            <w:tcW w:w="645"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4</w:t>
            </w:r>
          </w:p>
        </w:tc>
        <w:tc>
          <w:tcPr>
            <w:tcW w:w="67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3</w:t>
            </w:r>
          </w:p>
        </w:tc>
        <w:tc>
          <w:tcPr>
            <w:tcW w:w="611"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3</w:t>
            </w:r>
          </w:p>
        </w:tc>
        <w:tc>
          <w:tcPr>
            <w:tcW w:w="644"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2</w:t>
            </w:r>
          </w:p>
        </w:tc>
        <w:tc>
          <w:tcPr>
            <w:tcW w:w="645"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ascii="宋体" w:hAnsi="宋体" w:cs="宋体"/>
                <w:kern w:val="0"/>
                <w:sz w:val="24"/>
              </w:rPr>
              <w:t>2</w:t>
            </w:r>
          </w:p>
        </w:tc>
        <w:tc>
          <w:tcPr>
            <w:tcW w:w="1987" w:type="dxa"/>
            <w:vMerge w:val="restart"/>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r>
              <w:rPr>
                <w:rFonts w:hint="eastAsia" w:ascii="宋体" w:hAnsi="宋体" w:cs="宋体"/>
                <w:kern w:val="0"/>
                <w:sz w:val="24"/>
              </w:rPr>
              <w:t>鼓励开设短周期兴趣活动，供学生选择；部分兴趣活动可与学生体育活动相结合。至少安排一个年级每2周开设1课时生命教育心理健康活动课。</w:t>
            </w:r>
          </w:p>
        </w:tc>
        <w:tc>
          <w:tcPr>
            <w:tcW w:w="2100" w:type="dxa"/>
            <w:vMerge w:val="restart"/>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r>
              <w:rPr>
                <w:rFonts w:hint="eastAsia" w:ascii="宋体" w:hAnsi="宋体" w:cs="宋体"/>
                <w:kern w:val="0"/>
                <w:sz w:val="24"/>
              </w:rPr>
              <w:t>拓展型和探究型课程的部分内容采用“快乐活动日”的形式进行设计和实施。学校每周安排1个半天（按4课时计）实施“快乐活动日”，每学年安排30次，课时总量为120课时。可全校统一安排，也可分年段、分年级、分主题设计安排。部分学校经允许，开展项目化学习（或主题式综合活动课程），可整合实施相关课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专题教育</w:t>
            </w:r>
          </w:p>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或班团队活动</w:t>
            </w:r>
          </w:p>
        </w:tc>
        <w:tc>
          <w:tcPr>
            <w:tcW w:w="645"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7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11"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44"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45"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1987"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210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exact"/>
          <w:jc w:val="center"/>
        </w:trPr>
        <w:tc>
          <w:tcPr>
            <w:tcW w:w="523"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1513"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kern w:val="0"/>
                <w:sz w:val="24"/>
              </w:rPr>
            </w:pPr>
            <w:r>
              <w:rPr>
                <w:rFonts w:hint="eastAsia" w:ascii="宋体" w:hAnsi="宋体" w:cs="宋体"/>
                <w:kern w:val="0"/>
                <w:sz w:val="24"/>
              </w:rPr>
              <w:t>社区服务</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kern w:val="0"/>
                <w:sz w:val="24"/>
              </w:rPr>
            </w:pPr>
            <w:r>
              <w:rPr>
                <w:rFonts w:hint="eastAsia" w:ascii="宋体" w:hAnsi="宋体" w:cs="宋体"/>
                <w:kern w:val="0"/>
                <w:sz w:val="24"/>
              </w:rPr>
              <w:t>社会实践</w:t>
            </w:r>
          </w:p>
        </w:tc>
        <w:tc>
          <w:tcPr>
            <w:tcW w:w="1323"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kern w:val="0"/>
                <w:sz w:val="24"/>
              </w:rPr>
            </w:pPr>
            <w:r>
              <w:rPr>
                <w:rFonts w:hint="eastAsia" w:ascii="宋体" w:hAnsi="宋体" w:cs="宋体"/>
                <w:kern w:val="0"/>
                <w:sz w:val="24"/>
              </w:rPr>
              <w:t>每学年1至2周</w:t>
            </w:r>
          </w:p>
        </w:tc>
        <w:tc>
          <w:tcPr>
            <w:tcW w:w="1900" w:type="dxa"/>
            <w:gridSpan w:val="3"/>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kern w:val="0"/>
                <w:sz w:val="24"/>
              </w:rPr>
            </w:pPr>
            <w:r>
              <w:rPr>
                <w:rFonts w:hint="eastAsia" w:ascii="宋体" w:hAnsi="宋体" w:cs="宋体"/>
                <w:kern w:val="0"/>
                <w:sz w:val="24"/>
              </w:rPr>
              <w:t>每学年2周</w:t>
            </w:r>
          </w:p>
        </w:tc>
        <w:tc>
          <w:tcPr>
            <w:tcW w:w="1987" w:type="dxa"/>
            <w:vMerge w:val="restart"/>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r>
              <w:rPr>
                <w:rFonts w:hint="eastAsia" w:ascii="宋体" w:hAnsi="宋体" w:cs="宋体"/>
                <w:kern w:val="0"/>
                <w:sz w:val="24"/>
                <w:highlight w:val="none"/>
              </w:rPr>
              <w:t>学生必修</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可单独设置，也可整合实施，落实综合实践活动要求</w:t>
            </w:r>
            <w:r>
              <w:rPr>
                <w:rFonts w:hint="eastAsia" w:ascii="宋体" w:hAnsi="宋体" w:cs="宋体"/>
                <w:kern w:val="0"/>
                <w:sz w:val="24"/>
                <w:highlight w:val="none"/>
              </w:rPr>
              <w:t>；</w:t>
            </w:r>
            <w:r>
              <w:rPr>
                <w:rFonts w:hint="eastAsia" w:ascii="宋体" w:hAnsi="宋体" w:cs="宋体"/>
                <w:kern w:val="0"/>
                <w:sz w:val="24"/>
                <w:highlight w:val="none"/>
                <w:lang w:val="en-US" w:eastAsia="zh-CN"/>
              </w:rPr>
              <w:t>课时</w:t>
            </w:r>
            <w:r>
              <w:rPr>
                <w:rFonts w:hint="eastAsia" w:ascii="宋体" w:hAnsi="宋体" w:cs="宋体"/>
                <w:kern w:val="0"/>
                <w:sz w:val="24"/>
                <w:highlight w:val="none"/>
              </w:rPr>
              <w:t>可分散安排</w:t>
            </w:r>
            <w:r>
              <w:rPr>
                <w:rFonts w:hint="eastAsia" w:ascii="宋体" w:hAnsi="宋体" w:cs="宋体"/>
                <w:kern w:val="0"/>
                <w:sz w:val="24"/>
                <w:highlight w:val="none"/>
                <w:lang w:eastAsia="zh-CN"/>
              </w:rPr>
              <w:t>，</w:t>
            </w:r>
            <w:r>
              <w:rPr>
                <w:rFonts w:hint="eastAsia" w:ascii="宋体" w:hAnsi="宋体" w:cs="宋体"/>
                <w:kern w:val="0"/>
                <w:sz w:val="24"/>
                <w:highlight w:val="none"/>
              </w:rPr>
              <w:t>也可集中使用。</w:t>
            </w:r>
          </w:p>
        </w:tc>
        <w:tc>
          <w:tcPr>
            <w:tcW w:w="210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2036"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探究型课程</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1</w:t>
            </w:r>
          </w:p>
        </w:tc>
        <w:tc>
          <w:tcPr>
            <w:tcW w:w="1987" w:type="dxa"/>
            <w:vMerge w:val="continue"/>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p>
        </w:tc>
        <w:tc>
          <w:tcPr>
            <w:tcW w:w="2100" w:type="dxa"/>
            <w:vMerge w:val="continue"/>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jc w:val="center"/>
        </w:trPr>
        <w:tc>
          <w:tcPr>
            <w:tcW w:w="2036"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晨会或午会</w:t>
            </w:r>
          </w:p>
        </w:tc>
        <w:tc>
          <w:tcPr>
            <w:tcW w:w="3223" w:type="dxa"/>
            <w:gridSpan w:val="5"/>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每天15-20分钟</w:t>
            </w:r>
          </w:p>
        </w:tc>
        <w:tc>
          <w:tcPr>
            <w:tcW w:w="4087"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2036"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广播操、眼保健操</w:t>
            </w:r>
          </w:p>
        </w:tc>
        <w:tc>
          <w:tcPr>
            <w:tcW w:w="3223" w:type="dxa"/>
            <w:gridSpan w:val="5"/>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每天约35分钟</w:t>
            </w:r>
          </w:p>
        </w:tc>
        <w:tc>
          <w:tcPr>
            <w:tcW w:w="4087"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jc w:val="center"/>
        </w:trPr>
        <w:tc>
          <w:tcPr>
            <w:tcW w:w="2036"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周课时总量</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33</w:t>
            </w:r>
          </w:p>
        </w:tc>
        <w:tc>
          <w:tcPr>
            <w:tcW w:w="678"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33</w:t>
            </w:r>
          </w:p>
        </w:tc>
        <w:tc>
          <w:tcPr>
            <w:tcW w:w="611"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34</w:t>
            </w:r>
          </w:p>
        </w:tc>
        <w:tc>
          <w:tcPr>
            <w:tcW w:w="644"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34</w:t>
            </w:r>
          </w:p>
        </w:tc>
        <w:tc>
          <w:tcPr>
            <w:tcW w:w="645" w:type="dxa"/>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kern w:val="0"/>
                <w:sz w:val="24"/>
              </w:rPr>
            </w:pPr>
            <w:r>
              <w:rPr>
                <w:rFonts w:hint="eastAsia" w:ascii="宋体" w:hAnsi="宋体" w:cs="宋体"/>
                <w:kern w:val="0"/>
                <w:sz w:val="24"/>
              </w:rPr>
              <w:t>34</w:t>
            </w:r>
          </w:p>
        </w:tc>
        <w:tc>
          <w:tcPr>
            <w:tcW w:w="4087"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kern w:val="0"/>
                <w:sz w:val="24"/>
              </w:rPr>
            </w:pPr>
            <w:r>
              <w:rPr>
                <w:rFonts w:hint="eastAsia" w:ascii="宋体" w:hAnsi="宋体" w:cs="宋体"/>
                <w:kern w:val="0"/>
                <w:sz w:val="24"/>
              </w:rPr>
              <w:t>每课时按35分钟计。</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17" w:name="_Toc14713414"/>
      <w:bookmarkStart w:id="18" w:name="_Toc49541677"/>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rPr>
      </w:pPr>
      <w:r>
        <w:rPr>
          <w:rFonts w:hint="eastAsia"/>
          <w:b/>
          <w:bCs/>
          <w:sz w:val="24"/>
          <w:szCs w:val="24"/>
          <w:lang w:val="en-US" w:eastAsia="zh-CN"/>
        </w:rPr>
        <w:t>二、</w:t>
      </w:r>
      <w:r>
        <w:rPr>
          <w:rFonts w:hint="eastAsia"/>
          <w:b/>
          <w:bCs/>
          <w:sz w:val="24"/>
          <w:szCs w:val="24"/>
        </w:rPr>
        <w:t>学校课程结构</w:t>
      </w:r>
      <w:bookmarkEnd w:id="17"/>
      <w:bookmarkEnd w:id="18"/>
    </w:p>
    <w:p>
      <w:pPr>
        <w:pageBreakBefore w:val="0"/>
        <w:kinsoku/>
        <w:overflowPunct/>
        <w:topLinePunct w:val="0"/>
        <w:autoSpaceDE/>
        <w:autoSpaceDN/>
        <w:bidi w:val="0"/>
        <w:spacing w:line="500" w:lineRule="exact"/>
      </w:pPr>
      <w:r>
        <w:rPr>
          <w:rFonts w:hint="eastAsia"/>
          <w:b/>
          <w:bCs/>
          <w:sz w:val="24"/>
          <w:szCs w:val="24"/>
        </w:rPr>
        <w:drawing>
          <wp:anchor distT="0" distB="0" distL="114300" distR="114300" simplePos="0" relativeHeight="251664384" behindDoc="0" locked="0" layoutInCell="1" allowOverlap="1">
            <wp:simplePos x="0" y="0"/>
            <wp:positionH relativeFrom="column">
              <wp:posOffset>631825</wp:posOffset>
            </wp:positionH>
            <wp:positionV relativeFrom="paragraph">
              <wp:posOffset>167005</wp:posOffset>
            </wp:positionV>
            <wp:extent cx="3913505" cy="2542540"/>
            <wp:effectExtent l="12700" t="12700" r="17145" b="16510"/>
            <wp:wrapNone/>
            <wp:docPr id="5" name="图片 5" descr="小神农课程图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小神农课程图谱"/>
                    <pic:cNvPicPr>
                      <a:picLocks noChangeAspect="1"/>
                    </pic:cNvPicPr>
                  </pic:nvPicPr>
                  <pic:blipFill>
                    <a:blip r:embed="rId5"/>
                    <a:srcRect r="6618"/>
                    <a:stretch>
                      <a:fillRect/>
                    </a:stretch>
                  </pic:blipFill>
                  <pic:spPr>
                    <a:xfrm>
                      <a:off x="0" y="0"/>
                      <a:ext cx="3913505" cy="2542540"/>
                    </a:xfrm>
                    <a:prstGeom prst="rect">
                      <a:avLst/>
                    </a:prstGeom>
                    <a:ln w="12700" cap="flat" cmpd="sng" algn="ctr">
                      <a:solidFill>
                        <a:sysClr val="windowText" lastClr="000000"/>
                      </a:solidFill>
                      <a:prstDash val="solid"/>
                      <a:round/>
                      <a:headEnd type="none" w="med" len="med"/>
                      <a:tailEnd type="none" w="med" len="med"/>
                    </a:ln>
                  </pic:spPr>
                </pic:pic>
              </a:graphicData>
            </a:graphic>
          </wp:anchor>
        </w:drawing>
      </w:r>
    </w:p>
    <w:p>
      <w:pPr>
        <w:pageBreakBefore w:val="0"/>
        <w:kinsoku/>
        <w:overflowPunct/>
        <w:topLinePunct w:val="0"/>
        <w:autoSpaceDE/>
        <w:autoSpaceDN/>
        <w:bidi w:val="0"/>
        <w:spacing w:line="500" w:lineRule="exact"/>
      </w:pPr>
    </w:p>
    <w:p>
      <w:pPr>
        <w:pageBreakBefore w:val="0"/>
        <w:kinsoku/>
        <w:overflowPunct/>
        <w:topLinePunct w:val="0"/>
        <w:autoSpaceDE/>
        <w:autoSpaceDN/>
        <w:bidi w:val="0"/>
        <w:spacing w:line="500" w:lineRule="exact"/>
      </w:pPr>
    </w:p>
    <w:p>
      <w:pPr>
        <w:pageBreakBefore w:val="0"/>
        <w:kinsoku/>
        <w:overflowPunct/>
        <w:topLinePunct w:val="0"/>
        <w:autoSpaceDE/>
        <w:autoSpaceDN/>
        <w:bidi w:val="0"/>
        <w:spacing w:line="500" w:lineRule="exact"/>
      </w:pPr>
    </w:p>
    <w:p>
      <w:pPr>
        <w:pageBreakBefore w:val="0"/>
        <w:kinsoku/>
        <w:overflowPunct/>
        <w:topLinePunct w:val="0"/>
        <w:autoSpaceDE/>
        <w:autoSpaceDN/>
        <w:bidi w:val="0"/>
        <w:spacing w:line="500" w:lineRule="exact"/>
      </w:pPr>
    </w:p>
    <w:p>
      <w:pPr>
        <w:pageBreakBefore w:val="0"/>
        <w:kinsoku/>
        <w:overflowPunct/>
        <w:topLinePunct w:val="0"/>
        <w:autoSpaceDE/>
        <w:autoSpaceDN/>
        <w:bidi w:val="0"/>
        <w:spacing w:line="500" w:lineRule="exact"/>
      </w:pPr>
    </w:p>
    <w:p>
      <w:pPr>
        <w:pageBreakBefore w:val="0"/>
        <w:kinsoku/>
        <w:overflowPunct/>
        <w:topLinePunct w:val="0"/>
        <w:autoSpaceDE/>
        <w:autoSpaceDN/>
        <w:bidi w:val="0"/>
        <w:spacing w:line="500" w:lineRule="exact"/>
      </w:pPr>
    </w:p>
    <w:p>
      <w:pPr>
        <w:pageBreakBefore w:val="0"/>
        <w:widowControl/>
        <w:kinsoku/>
        <w:overflowPunct/>
        <w:topLinePunct w:val="0"/>
        <w:autoSpaceDE/>
        <w:autoSpaceDN/>
        <w:bidi w:val="0"/>
        <w:spacing w:line="500" w:lineRule="exact"/>
        <w:ind w:firstLine="480"/>
        <w:jc w:val="left"/>
        <w:rPr>
          <w:rFonts w:hint="eastAsia" w:ascii="宋体" w:hAnsi="宋体" w:cs="宋体"/>
          <w:kern w:val="0"/>
          <w:sz w:val="24"/>
        </w:rPr>
      </w:pPr>
    </w:p>
    <w:p>
      <w:pPr>
        <w:pageBreakBefore w:val="0"/>
        <w:widowControl/>
        <w:kinsoku/>
        <w:overflowPunct/>
        <w:topLinePunct w:val="0"/>
        <w:autoSpaceDE/>
        <w:autoSpaceDN/>
        <w:bidi w:val="0"/>
        <w:spacing w:line="500" w:lineRule="exact"/>
        <w:ind w:firstLine="480"/>
        <w:jc w:val="left"/>
        <w:rPr>
          <w:rFonts w:hint="eastAsia" w:ascii="宋体" w:hAnsi="宋体" w:cs="宋体"/>
          <w:kern w:val="0"/>
          <w:sz w:val="24"/>
        </w:rPr>
      </w:pPr>
    </w:p>
    <w:p>
      <w:pPr>
        <w:pageBreakBefore w:val="0"/>
        <w:widowControl/>
        <w:kinsoku/>
        <w:overflowPunct/>
        <w:topLinePunct w:val="0"/>
        <w:autoSpaceDE/>
        <w:autoSpaceDN/>
        <w:bidi w:val="0"/>
        <w:spacing w:line="500" w:lineRule="exact"/>
        <w:ind w:firstLine="480"/>
        <w:jc w:val="left"/>
        <w:rPr>
          <w:rFonts w:ascii="宋体" w:hAnsi="宋体" w:cs="宋体"/>
          <w:kern w:val="0"/>
          <w:sz w:val="24"/>
        </w:rPr>
      </w:pPr>
      <w:r>
        <w:rPr>
          <w:rFonts w:hint="eastAsia" w:ascii="宋体" w:hAnsi="宋体" w:cs="宋体"/>
          <w:kern w:val="0"/>
          <w:sz w:val="24"/>
        </w:rPr>
        <w:t>上海市十二年一贯普通中小学课程体系由基础型课程、拓展型课程和研究型课程组成，学校课程结构的规划主要涉及学校自主开发的课程，其结构如下图所示：</w:t>
      </w:r>
    </w:p>
    <w:p>
      <w:pPr>
        <w:pageBreakBefore w:val="0"/>
        <w:kinsoku/>
        <w:overflowPunct/>
        <w:topLinePunct w:val="0"/>
        <w:autoSpaceDE/>
        <w:autoSpaceDN/>
        <w:bidi w:val="0"/>
        <w:spacing w:line="500" w:lineRule="exact"/>
        <w:ind w:firstLine="236" w:firstLineChars="98"/>
        <w:jc w:val="center"/>
        <w:rPr>
          <w:rFonts w:ascii="宋体" w:hAnsi="宋体" w:cs="宋体"/>
          <w:bCs/>
          <w:kern w:val="0"/>
          <w:sz w:val="24"/>
          <w:highlight w:val="none"/>
        </w:rPr>
      </w:pPr>
      <w:r>
        <w:rPr>
          <w:rFonts w:hint="eastAsia"/>
          <w:b/>
          <w:bCs/>
          <w:sz w:val="24"/>
          <w:highlight w:val="none"/>
          <w:lang w:val="en-US" w:eastAsia="zh-CN"/>
        </w:rPr>
        <w:t>2022</w:t>
      </w:r>
      <w:r>
        <w:rPr>
          <w:rFonts w:hint="eastAsia"/>
          <w:b/>
          <w:bCs/>
          <w:sz w:val="24"/>
          <w:highlight w:val="none"/>
        </w:rPr>
        <w:t>学年学校各类课程具体设置</w:t>
      </w:r>
    </w:p>
    <w:tbl>
      <w:tblPr>
        <w:tblStyle w:val="11"/>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88"/>
        <w:gridCol w:w="472"/>
        <w:gridCol w:w="540"/>
        <w:gridCol w:w="383"/>
        <w:gridCol w:w="540"/>
        <w:gridCol w:w="510"/>
        <w:gridCol w:w="1268"/>
        <w:gridCol w:w="7"/>
        <w:gridCol w:w="126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48" w:type="dxa"/>
            <w:gridSpan w:val="2"/>
            <w:vMerge w:val="restart"/>
            <w:vAlign w:val="center"/>
          </w:tcPr>
          <w:p>
            <w:pPr>
              <w:pageBreakBefore w:val="0"/>
              <w:kinsoku/>
              <w:overflowPunct/>
              <w:topLinePunct w:val="0"/>
              <w:autoSpaceDE/>
              <w:autoSpaceDN/>
              <w:bidi w:val="0"/>
              <w:adjustRightInd w:val="0"/>
              <w:snapToGrid w:val="0"/>
              <w:spacing w:line="500" w:lineRule="exact"/>
              <w:ind w:firstLine="1200" w:firstLineChars="5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25400</wp:posOffset>
                      </wp:positionV>
                      <wp:extent cx="1355090" cy="1015365"/>
                      <wp:effectExtent l="2540" t="3810" r="13970" b="9525"/>
                      <wp:wrapNone/>
                      <wp:docPr id="1" name="任意多边形: 形状 2"/>
                      <wp:cNvGraphicFramePr/>
                      <a:graphic xmlns:a="http://schemas.openxmlformats.org/drawingml/2006/main">
                        <a:graphicData uri="http://schemas.microsoft.com/office/word/2010/wordprocessingShape">
                          <wps:wsp>
                            <wps:cNvSpPr/>
                            <wps:spPr bwMode="auto">
                              <a:xfrm>
                                <a:off x="0" y="0"/>
                                <a:ext cx="1355090" cy="1015365"/>
                              </a:xfrm>
                              <a:custGeom>
                                <a:avLst/>
                                <a:gdLst>
                                  <a:gd name="T0" fmla="*/ 2978 w 2978"/>
                                  <a:gd name="T1" fmla="*/ 768 h 768"/>
                                  <a:gd name="T2" fmla="*/ 0 w 2978"/>
                                  <a:gd name="T3" fmla="*/ 0 h 768"/>
                                </a:gdLst>
                                <a:ahLst/>
                                <a:cxnLst>
                                  <a:cxn ang="0">
                                    <a:pos x="T0" y="T1"/>
                                  </a:cxn>
                                  <a:cxn ang="0">
                                    <a:pos x="T2" y="T3"/>
                                  </a:cxn>
                                </a:cxnLst>
                                <a:rect l="0" t="0" r="r" b="b"/>
                                <a:pathLst>
                                  <a:path w="2978" h="768">
                                    <a:moveTo>
                                      <a:pt x="2978" y="768"/>
                                    </a:moveTo>
                                    <a:lnTo>
                                      <a:pt x="0" y="0"/>
                                    </a:lnTo>
                                  </a:path>
                                </a:pathLst>
                              </a:custGeom>
                              <a:solidFill>
                                <a:srgbClr val="FFFFFF"/>
                              </a:solidFill>
                              <a:ln w="9525" cmpd="sng">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3.45pt;margin-top:2pt;height:79.95pt;width:106.7pt;z-index:251660288;mso-width-relative:page;mso-height-relative:page;" fillcolor="#FFFFFF" filled="t" stroked="t" coordsize="2978,768" o:gfxdata="UEsDBAoAAAAAAIdO4kAAAAAAAAAAAAAAAAAEAAAAZHJzL1BLAwQUAAAACACHTuJAONt7T9cAAAAI&#10;AQAADwAAAGRycy9kb3ducmV2LnhtbE2PQUvDQBCF74L/YRnBW7vbGtM2ZtODIAY8iFXa6zQZk2B2&#10;NmS3af33jic9Du/jzffy7cX1aqIxdJ4tLOYGFHHl644bCx/vT7M1qBCRa+w9k4VvCrAtrq9yzGp/&#10;5jeadrFRUsIhQwttjEOmdahachjmfiCW7NOPDqOcY6PrEc9S7nq9NCbVDjuWDy0O9NhS9bU7OQtl&#10;XFFS7qOfkueXA3d4eF2VbO3tzcI8gIp0iX8w/OqLOhTidPQnroPqLczSjZAWElkk8dKk96COwqV3&#10;G9BFrv8PKH4AUEsDBBQAAAAIAIdO4kAa5s2t1AIAAA0GAAAOAAAAZHJzL2Uyb0RvYy54bWytVM1u&#10;1DAQviPxDpaPSDQ/2+12o2Yr1KoIiZ9KXR7A6zg/kmMb29lsOXPiwp0j4hmQUAVPQ4HHYOykaXah&#10;Ug/k4IzjLzPffDOeo+NNzdGaaVNJkeJoL8SICSqzShQpfr08e3yIkbFEZIRLwVJ8yQw+Xjx8cNSq&#10;hMWylDxjGoETYZJWpbi0ViVBYGjJamL2pGICDnOpa2Jhq4sg06QF7zUP4jA8CFqpM6UlZcbA19Pu&#10;EPce9X0cyjyvKDuVtKmZsJ1XzTixkJIpK2XwwrPNc0btqzw3zCKeYsjU+hWCgL1ya7A4IkmhiSor&#10;2lMg96Gwk1NNKgFBB1enxBLU6OovV3VFtTQyt3tU1kGXiFcEsojCHW0uSqKYzwWkNmoQ3fw/t/Tl&#10;+lyjKoNOwEiQGgr+4+rq57sP158//v7+9frbpwTB8uv9FxQ7sVplEvjnQp3rfmfARKv2hczgX9JY&#10;6XXY5Lp2ekCGaOPlvhzkZhuLKHyMJtNpOIdKUDiLwmg6OZi6GAFJbn6njbFPmfSuyPq5sV29MrC8&#10;2lnPeQle8ppD6R4FKJ7PDlHrX319BxgkOcBmB4eoRLDuguIRKLzD0WQLM7gB6sUNOVLe8KUb0RMG&#10;CxF30UKvkpLGqePYgwTLqM8eUC67O8BAz4EnYzDEvQ2ioet3+137fl91qSpiHTcXw5moTbHTDKMy&#10;xU4Pd1DLNVtKD7GOYweAwL1gEPEWwsUY2mXj7xagujMwXChf3CG8Yz0qsJG8ys4qzl1Uo4vVCddo&#10;TeDmnvmnT3gLxoVjP5/GU2ijWkEfG1H4BLZgW95C//zLm5aNyLoO5FCCwHW76++u71cyu4Re17Kb&#10;IjBDwSilfotRCxMEQr9piGYY8WcCrug82t8HKazf7E9nMWz0+GQ1PiGCgqsUWwwN4swT242pRumq&#10;KCFS5NMS8gncsbxyN8Hz61j1G5gSXuJ+orkxNN571O0UX/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ONt7T9cAAAAIAQAADwAAAAAAAAABACAAAAAiAAAAZHJzL2Rvd25yZXYueG1sUEsBAhQAFAAA&#10;AAgAh07iQBrmza3UAgAADQYAAA4AAAAAAAAAAQAgAAAAJgEAAGRycy9lMm9Eb2MueG1sUEsFBgAA&#10;AAAGAAYAWQEAAGwGAAAAAA==&#10;" path="m2978,768l0,0e">
                      <v:path o:connectlocs="1355090,1015365;0,0" o:connectangles="0,0"/>
                      <v:fill on="t" focussize="0,0"/>
                      <v:stroke color="#000000" joinstyle="round"/>
                      <v:imagedata o:title=""/>
                      <o:lock v:ext="edit" aspectratio="f"/>
                    </v:shap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29210</wp:posOffset>
                      </wp:positionV>
                      <wp:extent cx="1399540" cy="438150"/>
                      <wp:effectExtent l="1270" t="4445" r="8890" b="14605"/>
                      <wp:wrapNone/>
                      <wp:docPr id="4" name="任意多边形: 形状 3"/>
                      <wp:cNvGraphicFramePr/>
                      <a:graphic xmlns:a="http://schemas.openxmlformats.org/drawingml/2006/main">
                        <a:graphicData uri="http://schemas.microsoft.com/office/word/2010/wordprocessingShape">
                          <wps:wsp>
                            <wps:cNvSpPr/>
                            <wps:spPr bwMode="auto">
                              <a:xfrm>
                                <a:off x="0" y="0"/>
                                <a:ext cx="1399540" cy="438150"/>
                              </a:xfrm>
                              <a:custGeom>
                                <a:avLst/>
                                <a:gdLst>
                                  <a:gd name="T0" fmla="*/ 1470 w 1470"/>
                                  <a:gd name="T1" fmla="*/ 1321 h 1321"/>
                                  <a:gd name="T2" fmla="*/ 0 w 1470"/>
                                  <a:gd name="T3" fmla="*/ 0 h 1321"/>
                                </a:gdLst>
                                <a:ahLst/>
                                <a:cxnLst>
                                  <a:cxn ang="0">
                                    <a:pos x="T0" y="T1"/>
                                  </a:cxn>
                                  <a:cxn ang="0">
                                    <a:pos x="T2" y="T3"/>
                                  </a:cxn>
                                </a:cxnLst>
                                <a:rect l="0" t="0" r="r" b="b"/>
                                <a:pathLst>
                                  <a:path w="1470" h="1321">
                                    <a:moveTo>
                                      <a:pt x="1470" y="1321"/>
                                    </a:moveTo>
                                    <a:lnTo>
                                      <a:pt x="0" y="0"/>
                                    </a:lnTo>
                                  </a:path>
                                </a:pathLst>
                              </a:custGeom>
                              <a:solidFill>
                                <a:srgbClr val="FFFFFF"/>
                              </a:solidFill>
                              <a:ln w="9525" cmpd="sng">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3" o:spid="_x0000_s1026" o:spt="100" style="position:absolute;left:0pt;margin-left:-5.15pt;margin-top:2.3pt;height:34.5pt;width:110.2pt;z-index:251661312;mso-width-relative:page;mso-height-relative:page;" fillcolor="#FFFFFF" filled="t" stroked="t" coordsize="1470,1321" o:gfxdata="UEsDBAoAAAAAAIdO4kAAAAAAAAAAAAAAAAAEAAAAZHJzL1BLAwQUAAAACACHTuJAhPyCadgAAAAI&#10;AQAADwAAAGRycy9kb3ducmV2LnhtbE2PX0vDMBTF3wW/Q7iCb1uSTqqrvR0iFGS4gXUfIGuyptjc&#10;lCb74z698UkfD+dwzu+Uq4sb2MlMofeEIOcCmKHW6546hN1nPXsCFqIirQZPBuHbBFhVtzelKrQ/&#10;04c5NbFjqYRCoRBsjGPBeWitcSrM/WgoeQc/ORWTnDquJ3VO5W7gmRA5d6qntGDVaF6tab+ao0Oo&#10;8+y6fb/W9kUeNna9bjbj2zIi3t9J8Qwsmkv8C8MvfkKHKjHt/ZF0YAPCTIpFiiI85MCSn0khge0R&#10;Hhc58Krk/w9UP1BLAwQUAAAACACHTuJAzOh6QdQCAAARBgAADgAAAGRycy9lMm9Eb2MueG1srVTN&#10;btQwEL4j8Q6Wj0g0yf7QbrTZCrUqQuKnUpcH8DrOJpJjG9vZbDlz4tI7R8QzIKEKnoYCj8HYzm6z&#10;C5V6IIdkHH+e+eab8UyP1zVHK6ZNJUWGk4MYIyaozCuxzPCb+dnjI4yMJSInXAqW4Utm8PHs4YNp&#10;q1I2kKXkOdMInAiTtirDpbUqjSJDS1YTcyAVE7BZSF0TC0u9jHJNWvBe82gQx0+iVupcaUmZMfD3&#10;NGzizqO+j0NZFBVlp5I2NRM2eNWMEwspmbJSBs8826Jg1L4uCsMs4hmGTK1/QxCwF+4dzaYkXWqi&#10;yop2FMh9KOzlVJNKQNCtq1NiCWp09ZeruqJaGlnYAyrrKCTiFYEsknhPm4uSKOZzAamN2opu/p9b&#10;+mp1rlGVZ3iEkSA1FPzH9fXP91c3nz/+/v715tunFMHr14cvaOjEapVJ4cyFOtfdyoCJFu1LmcNZ&#10;0ljpdVgXunZ6QIZo7eW+3MrN1hZR+JkMJ5PxCCpBYW80PErGvh4RSTenaWPsMya9J7J6YWwoVw6W&#10;FzvvKM/BSVFzqNyjCCWjwxi1/tOVdwtL+rDhIEElSuCzDxv0YHe5Gu5gbv0A++WGHyk3lOladJzB&#10;QsRdtdjrpKRx+rgEQIS5pwIuAOUSvAMM/BzYF2QDDt8uiIa+3+947Tt+EXJVxDpuLoYzUQvVANkw&#10;Kl1ZQBG3U8sVm0uPsY5kQEDkjWYQ8xbDRR8b8tnUM+wB3AWbTTvDE3C8e1U2klf5WcW5C2v0cnHC&#10;NVoRuL1n/nH04cgOjAvHfzIejKGVagW9bMTSZ7AD2/EW++df3rRsRB6icChC5Dre9Xjo/YXML6Hf&#10;tQyTBOYoGKXU7zBqYYpA6LcN0Qwj/lzANZ0kI9fg1i9G48MBLHR/Z9HfIYKCqwxbDC3izBMbRlWj&#10;dLUsIVIojJBP4Z4VlbsOnl9g1S1gUniNuqnmRlF/7VG3k3z2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IT8gmnYAAAACAEAAA8AAAAAAAAAAQAgAAAAIgAAAGRycy9kb3ducmV2LnhtbFBLAQIUABQA&#10;AAAIAIdO4kDM6HpB1AIAABEGAAAOAAAAAAAAAAEAIAAAACcBAABkcnMvZTJvRG9jLnhtbFBLBQYA&#10;AAAABgAGAFkBAABtBgAAAAA=&#10;" path="m1470,1321l0,0e">
                      <v:path o:connectlocs="1399540,438150;0,0" o:connectangles="0,0"/>
                      <v:fill on="t" focussize="0,0"/>
                      <v:stroke color="#000000" joinstyle="round"/>
                      <v:imagedata o:title=""/>
                      <o:lock v:ext="edit" aspectratio="f"/>
                    </v:shape>
                  </w:pict>
                </mc:Fallback>
              </mc:AlternateContent>
            </w:r>
            <w:r>
              <w:rPr>
                <w:rFonts w:hint="eastAsia" w:ascii="宋体" w:hAnsi="宋体" w:cs="宋体"/>
                <w:sz w:val="24"/>
              </w:rPr>
              <w:t xml:space="preserve">年 级  </w:t>
            </w:r>
          </w:p>
          <w:p>
            <w:pPr>
              <w:pageBreakBefore w:val="0"/>
              <w:kinsoku/>
              <w:overflowPunct/>
              <w:topLinePunct w:val="0"/>
              <w:autoSpaceDE/>
              <w:autoSpaceDN/>
              <w:bidi w:val="0"/>
              <w:adjustRightInd w:val="0"/>
              <w:snapToGrid w:val="0"/>
              <w:spacing w:line="500" w:lineRule="exact"/>
              <w:ind w:firstLine="1080" w:firstLineChars="450"/>
              <w:jc w:val="left"/>
              <w:rPr>
                <w:rFonts w:ascii="宋体" w:hAnsi="宋体" w:cs="宋体"/>
                <w:sz w:val="24"/>
              </w:rPr>
            </w:pPr>
            <w:r>
              <w:rPr>
                <w:rFonts w:hint="eastAsia" w:ascii="宋体" w:hAnsi="宋体" w:cs="宋体"/>
                <w:sz w:val="24"/>
              </w:rPr>
              <w:t>周课时</w:t>
            </w:r>
          </w:p>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课程、科目</w:t>
            </w: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年级与科目</w:t>
            </w:r>
          </w:p>
        </w:tc>
        <w:tc>
          <w:tcPr>
            <w:tcW w:w="3763" w:type="dxa"/>
            <w:gridSpan w:val="4"/>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课程类别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48" w:type="dxa"/>
            <w:gridSpan w:val="2"/>
            <w:vMerge w:val="continue"/>
            <w:vAlign w:val="center"/>
          </w:tcPr>
          <w:p>
            <w:pPr>
              <w:pageBreakBefore w:val="0"/>
              <w:kinsoku/>
              <w:overflowPunct/>
              <w:topLinePunct w:val="0"/>
              <w:autoSpaceDE/>
              <w:autoSpaceDN/>
              <w:bidi w:val="0"/>
              <w:adjustRightInd w:val="0"/>
              <w:snapToGrid w:val="0"/>
              <w:spacing w:line="500" w:lineRule="exact"/>
              <w:ind w:firstLine="1455"/>
              <w:jc w:val="left"/>
              <w:rPr>
                <w:rFonts w:ascii="宋体" w:hAnsi="宋体" w:cs="宋体"/>
                <w:sz w:val="24"/>
              </w:rPr>
            </w:pPr>
          </w:p>
        </w:tc>
        <w:tc>
          <w:tcPr>
            <w:tcW w:w="472"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一</w:t>
            </w:r>
          </w:p>
        </w:tc>
        <w:tc>
          <w:tcPr>
            <w:tcW w:w="540"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二</w:t>
            </w:r>
          </w:p>
        </w:tc>
        <w:tc>
          <w:tcPr>
            <w:tcW w:w="383"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三</w:t>
            </w:r>
          </w:p>
        </w:tc>
        <w:tc>
          <w:tcPr>
            <w:tcW w:w="540"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四</w:t>
            </w:r>
          </w:p>
        </w:tc>
        <w:tc>
          <w:tcPr>
            <w:tcW w:w="510"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五</w:t>
            </w:r>
          </w:p>
        </w:tc>
        <w:tc>
          <w:tcPr>
            <w:tcW w:w="126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基础</w:t>
            </w:r>
          </w:p>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课程</w:t>
            </w:r>
          </w:p>
        </w:tc>
        <w:tc>
          <w:tcPr>
            <w:tcW w:w="1267" w:type="dxa"/>
            <w:gridSpan w:val="2"/>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拓展</w:t>
            </w:r>
          </w:p>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课程</w:t>
            </w:r>
          </w:p>
        </w:tc>
        <w:tc>
          <w:tcPr>
            <w:tcW w:w="122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探究性</w:t>
            </w:r>
          </w:p>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0" w:type="dxa"/>
            <w:vMerge w:val="restart"/>
            <w:vAlign w:val="center"/>
          </w:tcPr>
          <w:p>
            <w:pPr>
              <w:pageBreakBefore w:val="0"/>
              <w:kinsoku/>
              <w:overflowPunct/>
              <w:topLinePunct w:val="0"/>
              <w:autoSpaceDE/>
              <w:autoSpaceDN/>
              <w:bidi w:val="0"/>
              <w:adjustRightInd w:val="0"/>
              <w:snapToGrid w:val="0"/>
              <w:spacing w:line="500" w:lineRule="exact"/>
              <w:jc w:val="center"/>
              <w:rPr>
                <w:rFonts w:ascii="宋体" w:hAnsi="宋体" w:cs="宋体"/>
                <w:b/>
                <w:sz w:val="24"/>
              </w:rPr>
            </w:pPr>
            <w:r>
              <w:rPr>
                <w:rFonts w:hint="eastAsia" w:ascii="宋体" w:hAnsi="宋体" w:cs="宋体"/>
                <w:b/>
                <w:sz w:val="24"/>
              </w:rPr>
              <w:t>基</w:t>
            </w:r>
          </w:p>
          <w:p>
            <w:pPr>
              <w:pageBreakBefore w:val="0"/>
              <w:kinsoku/>
              <w:overflowPunct/>
              <w:topLinePunct w:val="0"/>
              <w:autoSpaceDE/>
              <w:autoSpaceDN/>
              <w:bidi w:val="0"/>
              <w:adjustRightInd w:val="0"/>
              <w:snapToGrid w:val="0"/>
              <w:spacing w:line="500" w:lineRule="exact"/>
              <w:jc w:val="center"/>
              <w:rPr>
                <w:rFonts w:ascii="宋体" w:hAnsi="宋体" w:cs="宋体"/>
                <w:b/>
                <w:sz w:val="24"/>
              </w:rPr>
            </w:pPr>
            <w:r>
              <w:rPr>
                <w:rFonts w:hint="eastAsia" w:ascii="宋体" w:hAnsi="宋体" w:cs="宋体"/>
                <w:b/>
                <w:sz w:val="24"/>
              </w:rPr>
              <w:t>础</w:t>
            </w:r>
          </w:p>
          <w:p>
            <w:pPr>
              <w:pageBreakBefore w:val="0"/>
              <w:kinsoku/>
              <w:overflowPunct/>
              <w:topLinePunct w:val="0"/>
              <w:autoSpaceDE/>
              <w:autoSpaceDN/>
              <w:bidi w:val="0"/>
              <w:adjustRightInd w:val="0"/>
              <w:snapToGrid w:val="0"/>
              <w:spacing w:line="500" w:lineRule="exact"/>
              <w:jc w:val="center"/>
              <w:rPr>
                <w:rFonts w:ascii="宋体" w:hAnsi="宋体" w:cs="宋体"/>
                <w:b/>
                <w:sz w:val="24"/>
              </w:rPr>
            </w:pPr>
            <w:r>
              <w:rPr>
                <w:rFonts w:hint="eastAsia" w:ascii="宋体" w:hAnsi="宋体" w:cs="宋体"/>
                <w:b/>
                <w:sz w:val="24"/>
              </w:rPr>
              <w:t>型</w:t>
            </w:r>
          </w:p>
          <w:p>
            <w:pPr>
              <w:pageBreakBefore w:val="0"/>
              <w:kinsoku/>
              <w:overflowPunct/>
              <w:topLinePunct w:val="0"/>
              <w:autoSpaceDE/>
              <w:autoSpaceDN/>
              <w:bidi w:val="0"/>
              <w:adjustRightInd w:val="0"/>
              <w:snapToGrid w:val="0"/>
              <w:spacing w:line="500" w:lineRule="exact"/>
              <w:jc w:val="center"/>
              <w:rPr>
                <w:rFonts w:ascii="宋体" w:hAnsi="宋体" w:cs="宋体"/>
                <w:b/>
                <w:sz w:val="24"/>
              </w:rPr>
            </w:pPr>
            <w:r>
              <w:rPr>
                <w:rFonts w:hint="eastAsia" w:ascii="宋体" w:hAnsi="宋体" w:cs="宋体"/>
                <w:b/>
                <w:sz w:val="24"/>
              </w:rPr>
              <w:t>课</w:t>
            </w:r>
          </w:p>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b/>
                <w:sz w:val="24"/>
              </w:rPr>
              <w:t>程</w:t>
            </w:r>
          </w:p>
        </w:tc>
        <w:tc>
          <w:tcPr>
            <w:tcW w:w="1488" w:type="dxa"/>
            <w:vMerge w:val="restart"/>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语言文学</w:t>
            </w: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语文</w:t>
            </w:r>
          </w:p>
        </w:tc>
        <w:tc>
          <w:tcPr>
            <w:tcW w:w="1268" w:type="dxa"/>
            <w:vMerge w:val="restart"/>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落实学生基本素质的形成和发展，体现国家对公民素质的最基本要求。</w:t>
            </w:r>
          </w:p>
        </w:tc>
        <w:tc>
          <w:tcPr>
            <w:tcW w:w="1267" w:type="dxa"/>
            <w:gridSpan w:val="2"/>
            <w:vMerge w:val="restart"/>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促进学生个性的发展和学校办学特色的形成，是一种体现不同基础要求、具有一定开放性的课程。</w:t>
            </w:r>
          </w:p>
        </w:tc>
        <w:tc>
          <w:tcPr>
            <w:tcW w:w="1228" w:type="dxa"/>
            <w:vMerge w:val="restart"/>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培养学生自主与创新精神、研究与实践能力、合作与发展意识的课程，是全体学生限定选择修习的课程。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76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sz w:val="24"/>
              </w:rPr>
            </w:pPr>
          </w:p>
        </w:tc>
        <w:tc>
          <w:tcPr>
            <w:tcW w:w="1488" w:type="dxa"/>
            <w:vMerge w:val="continue"/>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外语</w:t>
            </w:r>
          </w:p>
        </w:tc>
        <w:tc>
          <w:tcPr>
            <w:tcW w:w="126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7"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6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sz w:val="24"/>
              </w:rPr>
            </w:pPr>
          </w:p>
        </w:tc>
        <w:tc>
          <w:tcPr>
            <w:tcW w:w="148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数学</w:t>
            </w: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数学</w:t>
            </w:r>
          </w:p>
        </w:tc>
        <w:tc>
          <w:tcPr>
            <w:tcW w:w="126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7"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6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sz w:val="24"/>
              </w:rPr>
            </w:pPr>
          </w:p>
        </w:tc>
        <w:tc>
          <w:tcPr>
            <w:tcW w:w="148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社会科学</w:t>
            </w: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道德与法治</w:t>
            </w:r>
          </w:p>
        </w:tc>
        <w:tc>
          <w:tcPr>
            <w:tcW w:w="126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7"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sz w:val="24"/>
              </w:rPr>
            </w:pPr>
          </w:p>
        </w:tc>
        <w:tc>
          <w:tcPr>
            <w:tcW w:w="148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技术</w:t>
            </w: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自然、信息科技</w:t>
            </w:r>
          </w:p>
        </w:tc>
        <w:tc>
          <w:tcPr>
            <w:tcW w:w="126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7"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b/>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sz w:val="24"/>
              </w:rPr>
            </w:pPr>
          </w:p>
        </w:tc>
        <w:tc>
          <w:tcPr>
            <w:tcW w:w="1488" w:type="dxa"/>
            <w:vMerge w:val="restart"/>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艺术</w:t>
            </w:r>
          </w:p>
        </w:tc>
        <w:tc>
          <w:tcPr>
            <w:tcW w:w="1395" w:type="dxa"/>
            <w:gridSpan w:val="3"/>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唱游</w:t>
            </w:r>
          </w:p>
        </w:tc>
        <w:tc>
          <w:tcPr>
            <w:tcW w:w="1050" w:type="dxa"/>
            <w:gridSpan w:val="2"/>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音乐</w:t>
            </w:r>
          </w:p>
        </w:tc>
        <w:tc>
          <w:tcPr>
            <w:tcW w:w="126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7"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sz w:val="24"/>
              </w:rPr>
            </w:pPr>
          </w:p>
        </w:tc>
        <w:tc>
          <w:tcPr>
            <w:tcW w:w="1488" w:type="dxa"/>
            <w:vMerge w:val="continue"/>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美术</w:t>
            </w:r>
          </w:p>
        </w:tc>
        <w:tc>
          <w:tcPr>
            <w:tcW w:w="126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7"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60" w:type="dxa"/>
            <w:vMerge w:val="continue"/>
            <w:vAlign w:val="center"/>
          </w:tcPr>
          <w:p>
            <w:pPr>
              <w:pageBreakBefore w:val="0"/>
              <w:widowControl/>
              <w:kinsoku/>
              <w:overflowPunct/>
              <w:topLinePunct w:val="0"/>
              <w:autoSpaceDE/>
              <w:autoSpaceDN/>
              <w:bidi w:val="0"/>
              <w:spacing w:line="500" w:lineRule="exact"/>
              <w:jc w:val="left"/>
              <w:rPr>
                <w:rFonts w:ascii="宋体" w:hAnsi="宋体" w:cs="宋体"/>
                <w:sz w:val="24"/>
              </w:rPr>
            </w:pPr>
          </w:p>
        </w:tc>
        <w:tc>
          <w:tcPr>
            <w:tcW w:w="148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体育与健身</w:t>
            </w:r>
          </w:p>
        </w:tc>
        <w:tc>
          <w:tcPr>
            <w:tcW w:w="2445"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体育与健身</w:t>
            </w:r>
          </w:p>
        </w:tc>
        <w:tc>
          <w:tcPr>
            <w:tcW w:w="126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7"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248" w:type="dxa"/>
            <w:gridSpan w:val="2"/>
            <w:vMerge w:val="restart"/>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kern w:val="0"/>
                <w:sz w:val="24"/>
              </w:rPr>
            </w:pPr>
            <w:r>
              <w:rPr>
                <w:rFonts w:hint="eastAsia" w:ascii="宋体" w:hAnsi="宋体" w:cs="宋体"/>
                <w:b/>
                <w:kern w:val="0"/>
                <w:sz w:val="24"/>
              </w:rPr>
              <w:t>拓</w:t>
            </w:r>
          </w:p>
          <w:p>
            <w:pPr>
              <w:pageBreakBefore w:val="0"/>
              <w:widowControl/>
              <w:kinsoku/>
              <w:overflowPunct/>
              <w:topLinePunct w:val="0"/>
              <w:autoSpaceDE/>
              <w:autoSpaceDN/>
              <w:bidi w:val="0"/>
              <w:adjustRightInd w:val="0"/>
              <w:snapToGrid w:val="0"/>
              <w:spacing w:line="500" w:lineRule="exact"/>
              <w:jc w:val="center"/>
              <w:rPr>
                <w:rFonts w:ascii="宋体" w:hAnsi="宋体" w:cs="宋体"/>
                <w:b/>
                <w:kern w:val="0"/>
                <w:sz w:val="24"/>
              </w:rPr>
            </w:pPr>
            <w:r>
              <w:rPr>
                <w:rFonts w:hint="eastAsia" w:ascii="宋体" w:hAnsi="宋体" w:cs="宋体"/>
                <w:b/>
                <w:kern w:val="0"/>
                <w:sz w:val="24"/>
              </w:rPr>
              <w:t>展</w:t>
            </w:r>
          </w:p>
          <w:p>
            <w:pPr>
              <w:pageBreakBefore w:val="0"/>
              <w:widowControl/>
              <w:kinsoku/>
              <w:overflowPunct/>
              <w:topLinePunct w:val="0"/>
              <w:autoSpaceDE/>
              <w:autoSpaceDN/>
              <w:bidi w:val="0"/>
              <w:adjustRightInd w:val="0"/>
              <w:snapToGrid w:val="0"/>
              <w:spacing w:line="500" w:lineRule="exact"/>
              <w:jc w:val="center"/>
              <w:rPr>
                <w:rFonts w:ascii="宋体" w:hAnsi="宋体" w:cs="宋体"/>
                <w:b/>
                <w:kern w:val="0"/>
                <w:sz w:val="24"/>
              </w:rPr>
            </w:pPr>
            <w:r>
              <w:rPr>
                <w:rFonts w:hint="eastAsia" w:ascii="宋体" w:hAnsi="宋体" w:cs="宋体"/>
                <w:b/>
                <w:kern w:val="0"/>
                <w:sz w:val="24"/>
              </w:rPr>
              <w:t>型</w:t>
            </w:r>
          </w:p>
          <w:p>
            <w:pPr>
              <w:pageBreakBefore w:val="0"/>
              <w:widowControl/>
              <w:kinsoku/>
              <w:overflowPunct/>
              <w:topLinePunct w:val="0"/>
              <w:autoSpaceDE/>
              <w:autoSpaceDN/>
              <w:bidi w:val="0"/>
              <w:adjustRightInd w:val="0"/>
              <w:snapToGrid w:val="0"/>
              <w:spacing w:line="500" w:lineRule="exact"/>
              <w:jc w:val="center"/>
              <w:rPr>
                <w:rFonts w:ascii="宋体" w:hAnsi="宋体" w:cs="宋体"/>
                <w:b/>
                <w:kern w:val="0"/>
                <w:sz w:val="24"/>
              </w:rPr>
            </w:pPr>
            <w:r>
              <w:rPr>
                <w:rFonts w:hint="eastAsia" w:ascii="宋体" w:hAnsi="宋体" w:cs="宋体"/>
                <w:b/>
                <w:kern w:val="0"/>
                <w:sz w:val="24"/>
              </w:rPr>
              <w:t>课</w:t>
            </w:r>
          </w:p>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b/>
                <w:kern w:val="0"/>
                <w:sz w:val="24"/>
              </w:rPr>
              <w:t>程</w:t>
            </w:r>
          </w:p>
        </w:tc>
        <w:tc>
          <w:tcPr>
            <w:tcW w:w="3713" w:type="dxa"/>
            <w:gridSpan w:val="6"/>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人与自然</w:t>
            </w:r>
          </w:p>
        </w:tc>
        <w:tc>
          <w:tcPr>
            <w:tcW w:w="1267" w:type="dxa"/>
            <w:gridSpan w:val="2"/>
            <w:vMerge w:val="continue"/>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2248"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3713" w:type="dxa"/>
            <w:gridSpan w:val="6"/>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人与科技</w:t>
            </w:r>
          </w:p>
        </w:tc>
        <w:tc>
          <w:tcPr>
            <w:tcW w:w="1267" w:type="dxa"/>
            <w:gridSpan w:val="2"/>
            <w:vMerge w:val="continue"/>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248"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3713" w:type="dxa"/>
            <w:gridSpan w:val="6"/>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人与社会</w:t>
            </w:r>
          </w:p>
        </w:tc>
        <w:tc>
          <w:tcPr>
            <w:tcW w:w="1267" w:type="dxa"/>
            <w:gridSpan w:val="2"/>
            <w:vMerge w:val="continue"/>
          </w:tcPr>
          <w:p>
            <w:pPr>
              <w:pageBreakBefore w:val="0"/>
              <w:kinsoku/>
              <w:overflowPunct/>
              <w:topLinePunct w:val="0"/>
              <w:autoSpaceDE/>
              <w:autoSpaceDN/>
              <w:bidi w:val="0"/>
              <w:adjustRightInd w:val="0"/>
              <w:snapToGrid w:val="0"/>
              <w:spacing w:line="500" w:lineRule="exact"/>
              <w:jc w:val="left"/>
              <w:rPr>
                <w:rFonts w:ascii="宋体" w:hAnsi="宋体" w:cs="宋体"/>
                <w:kern w:val="0"/>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248" w:type="dxa"/>
            <w:gridSpan w:val="2"/>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3713" w:type="dxa"/>
            <w:gridSpan w:val="6"/>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人与人</w:t>
            </w:r>
          </w:p>
        </w:tc>
        <w:tc>
          <w:tcPr>
            <w:tcW w:w="1267" w:type="dxa"/>
            <w:gridSpan w:val="2"/>
            <w:vMerge w:val="continue"/>
          </w:tcPr>
          <w:p>
            <w:pPr>
              <w:pageBreakBefore w:val="0"/>
              <w:kinsoku/>
              <w:overflowPunct/>
              <w:topLinePunct w:val="0"/>
              <w:autoSpaceDE/>
              <w:autoSpaceDN/>
              <w:bidi w:val="0"/>
              <w:adjustRightInd w:val="0"/>
              <w:snapToGrid w:val="0"/>
              <w:spacing w:line="500" w:lineRule="exact"/>
              <w:jc w:val="left"/>
              <w:rPr>
                <w:rFonts w:ascii="宋体" w:hAnsi="宋体" w:cs="宋体"/>
                <w:kern w:val="0"/>
                <w:sz w:val="24"/>
              </w:rPr>
            </w:pPr>
          </w:p>
        </w:tc>
        <w:tc>
          <w:tcPr>
            <w:tcW w:w="1228"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48" w:type="dxa"/>
            <w:gridSpan w:val="2"/>
            <w:vAlign w:val="center"/>
          </w:tcPr>
          <w:p>
            <w:pPr>
              <w:pageBreakBefore w:val="0"/>
              <w:widowControl/>
              <w:kinsoku/>
              <w:overflowPunct/>
              <w:topLinePunct w:val="0"/>
              <w:autoSpaceDE/>
              <w:autoSpaceDN/>
              <w:bidi w:val="0"/>
              <w:adjustRightInd w:val="0"/>
              <w:snapToGrid w:val="0"/>
              <w:spacing w:line="500" w:lineRule="exact"/>
              <w:jc w:val="center"/>
              <w:rPr>
                <w:rFonts w:ascii="宋体" w:hAnsi="宋体" w:cs="宋体"/>
                <w:b/>
                <w:kern w:val="0"/>
                <w:sz w:val="24"/>
              </w:rPr>
            </w:pPr>
            <w:r>
              <w:rPr>
                <w:rFonts w:hint="eastAsia" w:ascii="宋体" w:hAnsi="宋体" w:cs="宋体"/>
                <w:b/>
                <w:kern w:val="0"/>
                <w:sz w:val="24"/>
              </w:rPr>
              <w:t>探究型课程</w:t>
            </w:r>
          </w:p>
        </w:tc>
        <w:tc>
          <w:tcPr>
            <w:tcW w:w="3720" w:type="dxa"/>
            <w:gridSpan w:val="7"/>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“小神农”探秘课程、“新田园实践活动”、“幸福课程”</w:t>
            </w:r>
          </w:p>
        </w:tc>
        <w:tc>
          <w:tcPr>
            <w:tcW w:w="1260" w:type="dxa"/>
          </w:tcPr>
          <w:p>
            <w:pPr>
              <w:pageBreakBefore w:val="0"/>
              <w:kinsoku/>
              <w:overflowPunct/>
              <w:topLinePunct w:val="0"/>
              <w:autoSpaceDE/>
              <w:autoSpaceDN/>
              <w:bidi w:val="0"/>
              <w:spacing w:line="500" w:lineRule="exact"/>
              <w:jc w:val="left"/>
              <w:rPr>
                <w:rFonts w:ascii="宋体" w:hAnsi="宋体"/>
                <w:sz w:val="24"/>
              </w:rPr>
            </w:pPr>
          </w:p>
        </w:tc>
        <w:tc>
          <w:tcPr>
            <w:tcW w:w="1228" w:type="dxa"/>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p>
        </w:tc>
      </w:tr>
    </w:tbl>
    <w:tbl>
      <w:tblPr>
        <w:tblStyle w:val="11"/>
        <w:tblpPr w:leftFromText="180" w:rightFromText="180" w:vertAnchor="text" w:horzAnchor="margin" w:tblpXSpec="center" w:tblpY="45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420"/>
        <w:gridCol w:w="525"/>
        <w:gridCol w:w="737"/>
        <w:gridCol w:w="567"/>
        <w:gridCol w:w="1418"/>
        <w:gridCol w:w="1417"/>
        <w:gridCol w:w="1418"/>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1" w:type="dxa"/>
            <w:vMerge w:val="restart"/>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r>
              <w:rPr>
                <w:rFonts w:hint="eastAsia" w:ascii="宋体" w:hAnsi="宋体" w:cs="宋体"/>
                <w:kern w:val="0"/>
                <w:sz w:val="24"/>
              </w:rPr>
              <w:t>学校课程</w:t>
            </w:r>
          </w:p>
        </w:tc>
        <w:tc>
          <w:tcPr>
            <w:tcW w:w="420" w:type="dxa"/>
            <w:vMerge w:val="restart"/>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拓展性课程</w:t>
            </w:r>
          </w:p>
        </w:tc>
        <w:tc>
          <w:tcPr>
            <w:tcW w:w="525" w:type="dxa"/>
            <w:vMerge w:val="restart"/>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“小神农”</w:t>
            </w:r>
          </w:p>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课</w:t>
            </w:r>
          </w:p>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程</w:t>
            </w:r>
          </w:p>
        </w:tc>
        <w:tc>
          <w:tcPr>
            <w:tcW w:w="737" w:type="dxa"/>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年级</w:t>
            </w:r>
          </w:p>
        </w:tc>
        <w:tc>
          <w:tcPr>
            <w:tcW w:w="56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一</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二</w:t>
            </w:r>
          </w:p>
        </w:tc>
        <w:tc>
          <w:tcPr>
            <w:tcW w:w="141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三</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四</w:t>
            </w:r>
          </w:p>
        </w:tc>
        <w:tc>
          <w:tcPr>
            <w:tcW w:w="1399"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1" w:type="dxa"/>
            <w:vMerge w:val="continue"/>
            <w:vAlign w:val="center"/>
          </w:tcPr>
          <w:p>
            <w:pPr>
              <w:pageBreakBefore w:val="0"/>
              <w:widowControl/>
              <w:kinsoku/>
              <w:overflowPunct/>
              <w:topLinePunct w:val="0"/>
              <w:autoSpaceDE/>
              <w:autoSpaceDN/>
              <w:bidi w:val="0"/>
              <w:adjustRightInd w:val="0"/>
              <w:snapToGrid w:val="0"/>
              <w:spacing w:line="500" w:lineRule="exact"/>
              <w:jc w:val="left"/>
              <w:rPr>
                <w:rFonts w:ascii="宋体" w:hAnsi="宋体" w:cs="宋体"/>
                <w:kern w:val="0"/>
                <w:sz w:val="24"/>
              </w:rPr>
            </w:pPr>
          </w:p>
        </w:tc>
        <w:tc>
          <w:tcPr>
            <w:tcW w:w="420"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525"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73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综合</w:t>
            </w:r>
          </w:p>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课程</w:t>
            </w:r>
          </w:p>
        </w:tc>
        <w:tc>
          <w:tcPr>
            <w:tcW w:w="56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399"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1"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420"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525"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737" w:type="dxa"/>
            <w:vAlign w:val="center"/>
          </w:tcPr>
          <w:p>
            <w:pPr>
              <w:pageBreakBefore w:val="0"/>
              <w:widowControl/>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体育活动</w:t>
            </w:r>
          </w:p>
        </w:tc>
        <w:tc>
          <w:tcPr>
            <w:tcW w:w="56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2</w:t>
            </w:r>
          </w:p>
        </w:tc>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cs="宋体"/>
                <w:sz w:val="24"/>
              </w:rPr>
            </w:pPr>
            <w:r>
              <w:rPr>
                <w:rFonts w:ascii="宋体" w:hAnsi="宋体" w:cs="宋体"/>
                <w:sz w:val="24"/>
              </w:rPr>
              <w:t>1</w:t>
            </w:r>
            <w:r>
              <w:rPr>
                <w:rFonts w:hint="eastAsia" w:ascii="宋体" w:hAnsi="宋体" w:cs="宋体"/>
                <w:szCs w:val="21"/>
              </w:rPr>
              <w:t>（另有1课时体育活动在课后服务进</w:t>
            </w:r>
            <w:r>
              <w:rPr>
                <w:rFonts w:hint="eastAsia" w:ascii="宋体" w:hAnsi="宋体" w:cs="宋体"/>
                <w:sz w:val="24"/>
              </w:rPr>
              <w:t>行）</w:t>
            </w: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cs="宋体"/>
                <w:sz w:val="24"/>
              </w:rPr>
            </w:pPr>
            <w:r>
              <w:rPr>
                <w:rFonts w:ascii="宋体" w:hAnsi="宋体" w:cs="宋体"/>
                <w:sz w:val="24"/>
              </w:rPr>
              <w:t>1</w:t>
            </w:r>
            <w:r>
              <w:rPr>
                <w:rFonts w:hint="eastAsia" w:ascii="宋体" w:hAnsi="宋体" w:cs="宋体"/>
                <w:szCs w:val="21"/>
              </w:rPr>
              <w:t>（另有1课时体育活动在课后服务进</w:t>
            </w:r>
            <w:r>
              <w:rPr>
                <w:rFonts w:hint="eastAsia" w:ascii="宋体" w:hAnsi="宋体" w:cs="宋体"/>
                <w:sz w:val="24"/>
              </w:rPr>
              <w:t>行）</w:t>
            </w:r>
          </w:p>
        </w:tc>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cs="宋体"/>
                <w:sz w:val="24"/>
              </w:rPr>
            </w:pPr>
            <w:r>
              <w:rPr>
                <w:rFonts w:ascii="宋体" w:hAnsi="宋体" w:cs="宋体"/>
                <w:sz w:val="24"/>
              </w:rPr>
              <w:t>1</w:t>
            </w:r>
            <w:r>
              <w:rPr>
                <w:rFonts w:hint="eastAsia" w:ascii="宋体" w:hAnsi="宋体" w:cs="宋体"/>
                <w:szCs w:val="21"/>
              </w:rPr>
              <w:t>（另有1课时体育活动在课后服务进</w:t>
            </w:r>
            <w:r>
              <w:rPr>
                <w:rFonts w:hint="eastAsia" w:ascii="宋体" w:hAnsi="宋体" w:cs="宋体"/>
                <w:sz w:val="24"/>
              </w:rPr>
              <w:t>行）</w:t>
            </w:r>
          </w:p>
        </w:tc>
        <w:tc>
          <w:tcPr>
            <w:tcW w:w="13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sz w:val="24"/>
              </w:rPr>
            </w:pPr>
            <w:r>
              <w:rPr>
                <w:rFonts w:ascii="宋体" w:hAnsi="宋体" w:cs="宋体"/>
                <w:sz w:val="24"/>
              </w:rPr>
              <w:t>1</w:t>
            </w:r>
            <w:r>
              <w:rPr>
                <w:rFonts w:hint="eastAsia" w:ascii="宋体" w:hAnsi="宋体" w:cs="宋体"/>
                <w:szCs w:val="21"/>
              </w:rPr>
              <w:t>（另有1课时体育活动在课后服务进</w:t>
            </w:r>
            <w:r>
              <w:rPr>
                <w:rFonts w:hint="eastAsia" w:ascii="宋体" w:hAnsi="宋体" w:cs="宋体"/>
                <w:sz w:val="24"/>
              </w:rPr>
              <w:t>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1"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420"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525"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737" w:type="dxa"/>
            <w:vAlign w:val="center"/>
          </w:tcPr>
          <w:p>
            <w:pPr>
              <w:pageBreakBefore w:val="0"/>
              <w:widowControl/>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心理课程</w:t>
            </w:r>
          </w:p>
        </w:tc>
        <w:tc>
          <w:tcPr>
            <w:tcW w:w="56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ascii="宋体" w:hAnsi="宋体" w:cs="宋体"/>
                <w:sz w:val="24"/>
              </w:rPr>
              <w:t>1</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ascii="宋体" w:hAnsi="宋体" w:cs="宋体"/>
                <w:sz w:val="24"/>
              </w:rPr>
              <w:t>0</w:t>
            </w:r>
          </w:p>
        </w:tc>
        <w:tc>
          <w:tcPr>
            <w:tcW w:w="1399"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571"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420" w:type="dxa"/>
            <w:vMerge w:val="continue"/>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1262" w:type="dxa"/>
            <w:gridSpan w:val="2"/>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幸福课程</w:t>
            </w:r>
          </w:p>
        </w:tc>
        <w:tc>
          <w:tcPr>
            <w:tcW w:w="6219" w:type="dxa"/>
            <w:gridSpan w:val="5"/>
            <w:vAlign w:val="center"/>
          </w:tcPr>
          <w:p>
            <w:pPr>
              <w:pageBreakBefore w:val="0"/>
              <w:kinsoku/>
              <w:overflowPunct/>
              <w:topLinePunct w:val="0"/>
              <w:autoSpaceDE/>
              <w:autoSpaceDN/>
              <w:bidi w:val="0"/>
              <w:adjustRightInd w:val="0"/>
              <w:snapToGrid w:val="0"/>
              <w:spacing w:line="500" w:lineRule="exact"/>
              <w:ind w:firstLine="600" w:firstLineChars="250"/>
              <w:jc w:val="left"/>
              <w:rPr>
                <w:rFonts w:ascii="宋体" w:hAnsi="宋体" w:cs="宋体"/>
                <w:sz w:val="24"/>
              </w:rPr>
            </w:pPr>
            <w:r>
              <w:rPr>
                <w:rFonts w:hint="eastAsia" w:ascii="宋体" w:hAnsi="宋体" w:cs="宋体"/>
                <w:sz w:val="24"/>
              </w:rPr>
              <w:t>每学期1周，每学年两周，课余时间，依据实际情况或分散或集中。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571" w:type="dxa"/>
            <w:vMerge w:val="continue"/>
            <w:vAlign w:val="center"/>
          </w:tcPr>
          <w:p>
            <w:pPr>
              <w:pageBreakBefore w:val="0"/>
              <w:widowControl/>
              <w:kinsoku/>
              <w:overflowPunct/>
              <w:topLinePunct w:val="0"/>
              <w:autoSpaceDE/>
              <w:autoSpaceDN/>
              <w:bidi w:val="0"/>
              <w:spacing w:line="500" w:lineRule="exact"/>
              <w:jc w:val="left"/>
              <w:rPr>
                <w:rFonts w:ascii="宋体" w:hAnsi="宋体" w:cs="宋体"/>
                <w:kern w:val="0"/>
                <w:sz w:val="24"/>
              </w:rPr>
            </w:pPr>
          </w:p>
        </w:tc>
        <w:tc>
          <w:tcPr>
            <w:tcW w:w="420" w:type="dxa"/>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探究课</w:t>
            </w:r>
          </w:p>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程</w:t>
            </w:r>
          </w:p>
        </w:tc>
        <w:tc>
          <w:tcPr>
            <w:tcW w:w="1262" w:type="dxa"/>
            <w:gridSpan w:val="2"/>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p>
        </w:tc>
        <w:tc>
          <w:tcPr>
            <w:tcW w:w="567" w:type="dxa"/>
            <w:vAlign w:val="center"/>
          </w:tcPr>
          <w:p>
            <w:pPr>
              <w:pageBreakBefore w:val="0"/>
              <w:kinsoku/>
              <w:overflowPunct/>
              <w:topLinePunct w:val="0"/>
              <w:autoSpaceDE/>
              <w:autoSpaceDN/>
              <w:bidi w:val="0"/>
              <w:adjustRightInd w:val="0"/>
              <w:snapToGrid w:val="0"/>
              <w:spacing w:line="50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418" w:type="dxa"/>
            <w:vAlign w:val="center"/>
          </w:tcPr>
          <w:p>
            <w:pPr>
              <w:pageBreakBefore w:val="0"/>
              <w:kinsoku/>
              <w:overflowPunct/>
              <w:topLinePunct w:val="0"/>
              <w:autoSpaceDE/>
              <w:autoSpaceDN/>
              <w:bidi w:val="0"/>
              <w:adjustRightInd w:val="0"/>
              <w:snapToGrid w:val="0"/>
              <w:spacing w:line="500" w:lineRule="exact"/>
              <w:ind w:firstLine="600" w:firstLineChars="250"/>
              <w:jc w:val="both"/>
              <w:rPr>
                <w:rFonts w:ascii="宋体" w:hAnsi="宋体" w:cs="宋体"/>
                <w:sz w:val="24"/>
              </w:rPr>
            </w:pPr>
            <w:r>
              <w:rPr>
                <w:rFonts w:hint="eastAsia" w:ascii="宋体" w:hAnsi="宋体" w:cs="宋体"/>
                <w:sz w:val="24"/>
              </w:rPr>
              <w:t>1</w:t>
            </w:r>
          </w:p>
        </w:tc>
        <w:tc>
          <w:tcPr>
            <w:tcW w:w="1417" w:type="dxa"/>
            <w:vAlign w:val="center"/>
          </w:tcPr>
          <w:p>
            <w:pPr>
              <w:pageBreakBefore w:val="0"/>
              <w:kinsoku/>
              <w:overflowPunct/>
              <w:topLinePunct w:val="0"/>
              <w:autoSpaceDE/>
              <w:autoSpaceDN/>
              <w:bidi w:val="0"/>
              <w:adjustRightInd w:val="0"/>
              <w:snapToGrid w:val="0"/>
              <w:spacing w:line="500" w:lineRule="exact"/>
              <w:ind w:firstLine="600" w:firstLineChars="250"/>
              <w:jc w:val="both"/>
              <w:rPr>
                <w:rFonts w:ascii="宋体" w:hAnsi="宋体" w:cs="宋体"/>
                <w:sz w:val="24"/>
              </w:rPr>
            </w:pPr>
            <w:r>
              <w:rPr>
                <w:rFonts w:hint="eastAsia" w:ascii="宋体" w:hAnsi="宋体" w:cs="宋体"/>
                <w:sz w:val="24"/>
              </w:rPr>
              <w:t>1</w:t>
            </w:r>
          </w:p>
        </w:tc>
        <w:tc>
          <w:tcPr>
            <w:tcW w:w="1418" w:type="dxa"/>
            <w:vAlign w:val="center"/>
          </w:tcPr>
          <w:p>
            <w:pPr>
              <w:pageBreakBefore w:val="0"/>
              <w:kinsoku/>
              <w:overflowPunct/>
              <w:topLinePunct w:val="0"/>
              <w:autoSpaceDE/>
              <w:autoSpaceDN/>
              <w:bidi w:val="0"/>
              <w:adjustRightInd w:val="0"/>
              <w:snapToGrid w:val="0"/>
              <w:spacing w:line="500" w:lineRule="exact"/>
              <w:ind w:firstLine="600" w:firstLineChars="250"/>
              <w:jc w:val="both"/>
              <w:rPr>
                <w:rFonts w:ascii="宋体" w:hAnsi="宋体" w:cs="宋体"/>
                <w:sz w:val="24"/>
              </w:rPr>
            </w:pPr>
            <w:r>
              <w:rPr>
                <w:rFonts w:hint="eastAsia" w:ascii="宋体" w:hAnsi="宋体" w:cs="宋体"/>
                <w:sz w:val="24"/>
              </w:rPr>
              <w:t>1</w:t>
            </w:r>
          </w:p>
        </w:tc>
        <w:tc>
          <w:tcPr>
            <w:tcW w:w="1399" w:type="dxa"/>
            <w:vAlign w:val="center"/>
          </w:tcPr>
          <w:p>
            <w:pPr>
              <w:pageBreakBefore w:val="0"/>
              <w:kinsoku/>
              <w:overflowPunct/>
              <w:topLinePunct w:val="0"/>
              <w:autoSpaceDE/>
              <w:autoSpaceDN/>
              <w:bidi w:val="0"/>
              <w:adjustRightInd w:val="0"/>
              <w:snapToGrid w:val="0"/>
              <w:spacing w:line="500" w:lineRule="exact"/>
              <w:ind w:firstLine="600" w:firstLineChars="250"/>
              <w:jc w:val="both"/>
              <w:rPr>
                <w:rFonts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53" w:type="dxa"/>
            <w:gridSpan w:val="4"/>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班会</w:t>
            </w:r>
          </w:p>
        </w:tc>
        <w:tc>
          <w:tcPr>
            <w:tcW w:w="56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1</w:t>
            </w:r>
          </w:p>
        </w:tc>
        <w:tc>
          <w:tcPr>
            <w:tcW w:w="1399" w:type="dxa"/>
            <w:vAlign w:val="center"/>
          </w:tcPr>
          <w:p>
            <w:pPr>
              <w:pageBreakBefore w:val="0"/>
              <w:kinsoku/>
              <w:overflowPunct/>
              <w:topLinePunct w:val="0"/>
              <w:autoSpaceDE/>
              <w:autoSpaceDN/>
              <w:bidi w:val="0"/>
              <w:spacing w:line="500" w:lineRule="exact"/>
              <w:jc w:val="center"/>
              <w:rPr>
                <w:rFonts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53" w:type="dxa"/>
            <w:gridSpan w:val="4"/>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午会</w:t>
            </w:r>
          </w:p>
        </w:tc>
        <w:tc>
          <w:tcPr>
            <w:tcW w:w="6219" w:type="dxa"/>
            <w:gridSpan w:val="5"/>
            <w:vAlign w:val="center"/>
          </w:tcPr>
          <w:p>
            <w:pPr>
              <w:pageBreakBefore w:val="0"/>
              <w:kinsoku/>
              <w:overflowPunct/>
              <w:topLinePunct w:val="0"/>
              <w:autoSpaceDE/>
              <w:autoSpaceDN/>
              <w:bidi w:val="0"/>
              <w:adjustRightInd w:val="0"/>
              <w:snapToGrid w:val="0"/>
              <w:spacing w:line="500" w:lineRule="exact"/>
              <w:jc w:val="left"/>
              <w:rPr>
                <w:rFonts w:ascii="宋体" w:hAnsi="宋体" w:cs="宋体"/>
                <w:sz w:val="24"/>
              </w:rPr>
            </w:pPr>
            <w:r>
              <w:rPr>
                <w:rFonts w:hint="eastAsia" w:ascii="宋体" w:hAnsi="宋体" w:cs="宋体"/>
                <w:sz w:val="24"/>
              </w:rPr>
              <w:t>15分钟，</w:t>
            </w:r>
            <w:r>
              <w:rPr>
                <w:rFonts w:hint="eastAsia" w:ascii="宋体" w:hAnsi="宋体" w:cs="宋体"/>
                <w:kern w:val="0"/>
                <w:sz w:val="24"/>
              </w:rPr>
              <w:t>安排安全教育、行规教育/民防教育、健康教育（心理）/环境教育、时事教育/廉洁教育、红领巾广播</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53" w:type="dxa"/>
            <w:gridSpan w:val="4"/>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广播操、眼保健操</w:t>
            </w:r>
          </w:p>
        </w:tc>
        <w:tc>
          <w:tcPr>
            <w:tcW w:w="6219" w:type="dxa"/>
            <w:gridSpan w:val="5"/>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lang w:val="en-US" w:eastAsia="zh-CN"/>
              </w:rPr>
              <w:t>40</w:t>
            </w:r>
            <w:r>
              <w:rPr>
                <w:rFonts w:hint="eastAsia" w:ascii="宋体" w:hAnsi="宋体" w:cs="宋体"/>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53" w:type="dxa"/>
            <w:gridSpan w:val="4"/>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周课时总量</w:t>
            </w:r>
          </w:p>
        </w:tc>
        <w:tc>
          <w:tcPr>
            <w:tcW w:w="56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3</w:t>
            </w:r>
            <w:r>
              <w:rPr>
                <w:rFonts w:ascii="宋体" w:hAnsi="宋体" w:cs="宋体"/>
                <w:sz w:val="24"/>
              </w:rPr>
              <w:t>3</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3</w:t>
            </w:r>
            <w:r>
              <w:rPr>
                <w:rFonts w:ascii="宋体" w:hAnsi="宋体" w:cs="宋体"/>
                <w:sz w:val="24"/>
              </w:rPr>
              <w:t>3</w:t>
            </w:r>
          </w:p>
        </w:tc>
        <w:tc>
          <w:tcPr>
            <w:tcW w:w="1417"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3</w:t>
            </w:r>
            <w:r>
              <w:rPr>
                <w:rFonts w:ascii="宋体" w:hAnsi="宋体" w:cs="宋体"/>
                <w:sz w:val="24"/>
              </w:rPr>
              <w:t>4</w:t>
            </w:r>
          </w:p>
        </w:tc>
        <w:tc>
          <w:tcPr>
            <w:tcW w:w="1418"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34</w:t>
            </w:r>
          </w:p>
        </w:tc>
        <w:tc>
          <w:tcPr>
            <w:tcW w:w="1399" w:type="dxa"/>
            <w:vAlign w:val="center"/>
          </w:tcPr>
          <w:p>
            <w:pPr>
              <w:pageBreakBefore w:val="0"/>
              <w:kinsoku/>
              <w:overflowPunct/>
              <w:topLinePunct w:val="0"/>
              <w:autoSpaceDE/>
              <w:autoSpaceDN/>
              <w:bidi w:val="0"/>
              <w:adjustRightInd w:val="0"/>
              <w:snapToGrid w:val="0"/>
              <w:spacing w:line="500" w:lineRule="exact"/>
              <w:jc w:val="center"/>
              <w:rPr>
                <w:rFonts w:ascii="宋体" w:hAnsi="宋体" w:cs="宋体"/>
                <w:sz w:val="24"/>
              </w:rPr>
            </w:pPr>
            <w:r>
              <w:rPr>
                <w:rFonts w:hint="eastAsia" w:ascii="宋体" w:hAnsi="宋体" w:cs="宋体"/>
                <w:sz w:val="24"/>
              </w:rPr>
              <w:t>34</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19" w:name="_Toc49541678"/>
      <w:bookmarkStart w:id="20" w:name="_Toc14713249"/>
      <w:bookmarkStart w:id="21" w:name="_Toc14713415"/>
      <w:r>
        <w:rPr>
          <w:rFonts w:hint="eastAsia"/>
          <w:b/>
          <w:bCs/>
          <w:sz w:val="24"/>
          <w:szCs w:val="24"/>
          <w:lang w:val="en-US" w:eastAsia="zh-CN"/>
        </w:rPr>
        <w:t>三、课程具体安排</w:t>
      </w:r>
      <w:bookmarkEnd w:id="19"/>
      <w:bookmarkEnd w:id="20"/>
      <w:bookmarkEnd w:id="21"/>
    </w:p>
    <w:p>
      <w:pPr>
        <w:pageBreakBefore w:val="0"/>
        <w:widowControl/>
        <w:kinsoku/>
        <w:overflowPunct/>
        <w:topLinePunct w:val="0"/>
        <w:autoSpaceDE/>
        <w:autoSpaceDN/>
        <w:bidi w:val="0"/>
        <w:spacing w:line="500" w:lineRule="exact"/>
        <w:ind w:firstLine="482" w:firstLineChars="200"/>
        <w:jc w:val="center"/>
        <w:rPr>
          <w:rFonts w:ascii="宋体" w:hAnsi="宋体" w:cs="宋体"/>
          <w:b/>
          <w:bCs/>
          <w:kern w:val="0"/>
          <w:sz w:val="24"/>
          <w:highlight w:val="none"/>
        </w:rPr>
      </w:pPr>
      <w:r>
        <w:rPr>
          <w:rFonts w:hint="eastAsia" w:ascii="宋体" w:hAnsi="宋体" w:cs="宋体"/>
          <w:b/>
          <w:bCs/>
          <w:kern w:val="0"/>
          <w:sz w:val="24"/>
          <w:highlight w:val="none"/>
          <w:lang w:val="en-US" w:eastAsia="zh-CN"/>
        </w:rPr>
        <w:t>2022</w:t>
      </w:r>
      <w:r>
        <w:rPr>
          <w:rFonts w:hint="eastAsia" w:ascii="宋体" w:hAnsi="宋体" w:cs="宋体"/>
          <w:b/>
          <w:bCs/>
          <w:kern w:val="0"/>
          <w:sz w:val="24"/>
          <w:highlight w:val="none"/>
        </w:rPr>
        <w:t>学年度各年级课程设置与课时安排</w:t>
      </w:r>
    </w:p>
    <w:tbl>
      <w:tblPr>
        <w:tblStyle w:val="11"/>
        <w:tblW w:w="9671" w:type="dxa"/>
        <w:jc w:val="center"/>
        <w:tblCellSpacing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47"/>
        <w:gridCol w:w="1812"/>
        <w:gridCol w:w="652"/>
        <w:gridCol w:w="840"/>
        <w:gridCol w:w="840"/>
        <w:gridCol w:w="930"/>
        <w:gridCol w:w="945"/>
        <w:gridCol w:w="28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90" w:hRule="atLeast"/>
          <w:tblCellSpacing w:w="0" w:type="dxa"/>
          <w:jc w:val="center"/>
        </w:trPr>
        <w:tc>
          <w:tcPr>
            <w:tcW w:w="2659" w:type="dxa"/>
            <w:gridSpan w:val="2"/>
            <w:tcBorders>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80" w:firstLineChars="200"/>
              <w:jc w:val="center"/>
              <w:rPr>
                <w:rFonts w:ascii="宋体" w:hAnsi="宋体" w:cs="宋体"/>
                <w:bCs/>
                <w:kern w:val="0"/>
                <w:szCs w:val="21"/>
              </w:rPr>
            </w:pPr>
            <w:r>
              <w:rPr>
                <w:rFonts w:ascii="宋体" w:hAnsi="宋体" w:cs="宋体"/>
                <w:sz w:val="24"/>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7620</wp:posOffset>
                      </wp:positionV>
                      <wp:extent cx="1292225" cy="944880"/>
                      <wp:effectExtent l="2540" t="3810" r="19685" b="3810"/>
                      <wp:wrapNone/>
                      <wp:docPr id="2" name="任意多边形: 形状 2"/>
                      <wp:cNvGraphicFramePr/>
                      <a:graphic xmlns:a="http://schemas.openxmlformats.org/drawingml/2006/main">
                        <a:graphicData uri="http://schemas.microsoft.com/office/word/2010/wordprocessingShape">
                          <wps:wsp>
                            <wps:cNvSpPr/>
                            <wps:spPr bwMode="auto">
                              <a:xfrm>
                                <a:off x="0" y="0"/>
                                <a:ext cx="1292225" cy="944880"/>
                              </a:xfrm>
                              <a:custGeom>
                                <a:avLst/>
                                <a:gdLst>
                                  <a:gd name="T0" fmla="*/ 2978 w 2978"/>
                                  <a:gd name="T1" fmla="*/ 768 h 768"/>
                                  <a:gd name="T2" fmla="*/ 0 w 2978"/>
                                  <a:gd name="T3" fmla="*/ 0 h 768"/>
                                </a:gdLst>
                                <a:ahLst/>
                                <a:cxnLst>
                                  <a:cxn ang="0">
                                    <a:pos x="T0" y="T1"/>
                                  </a:cxn>
                                  <a:cxn ang="0">
                                    <a:pos x="T2" y="T3"/>
                                  </a:cxn>
                                </a:cxnLst>
                                <a:rect l="0" t="0" r="r" b="b"/>
                                <a:pathLst>
                                  <a:path w="2978" h="768">
                                    <a:moveTo>
                                      <a:pt x="2978" y="768"/>
                                    </a:moveTo>
                                    <a:lnTo>
                                      <a:pt x="0" y="0"/>
                                    </a:lnTo>
                                  </a:path>
                                </a:pathLst>
                              </a:custGeom>
                              <a:solidFill>
                                <a:srgbClr val="FFFFFF"/>
                              </a:solidFill>
                              <a:ln w="9525" cmpd="sng">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3pt;margin-top:0.6pt;height:74.4pt;width:101.75pt;z-index:251665408;mso-width-relative:page;mso-height-relative:page;" fillcolor="#FFFFFF" filled="t" stroked="t" coordsize="2978,768" o:gfxdata="UEsDBAoAAAAAAIdO4kAAAAAAAAAAAAAAAAAEAAAAZHJzL1BLAwQUAAAACACHTuJAneg2s9QAAAAH&#10;AQAADwAAAGRycy9kb3ducmV2LnhtbE2PzU7DMBCE70i8g7VI3KjdqL8hTg9IiEgcEAXR6zZekoh4&#10;HcVuWt6e5QTH2VnNfFPsLr5XE42xC2xhPjOgiOvgOm4svL893m1AxYTssA9MFr4pwq68viowd+HM&#10;rzTtU6MkhGOOFtqUhlzrWLfkMc7CQCzeZxg9JpFjo92IZwn3vc6MWWmPHUtDiwM9tFR/7U/eQpXW&#10;tKg+UpgWT88H7vDwsq7Y2tububkHleiS/p7hF1/QoRSmYzixi6q3sJIlSc4ZKHEzs12COopeGgO6&#10;LPR//vIHUEsDBBQAAAAIAIdO4kBDvgCp0gIAAAwGAAAOAAAAZHJzL2Uyb0RvYy54bWytVMtu1DAU&#10;3SPxD5aXSDSPTtuZqJkKtSpC4lGpwwd4HOchObaxncmUNSs27FkivgEJVfA1FPgMrp1Mmhmo1AWz&#10;8Njx8bnnnnvt45N1zdGKaVNJkeJoL8SICSqzShQpfr04fzzFyFgiMsKlYCm+YgafzB8+OG5VwmJZ&#10;Sp4xjYBEmKRVKS6tVUkQGFqympg9qZiAzVzqmlhY6iLINGmBveZBHIaHQSt1prSkzBj4etZt4p5R&#10;34dQ5nlF2ZmkTc2E7Vg148RCSqaslMFzrzbPGbWv8twwi3iKIVPrRwgC86Ubg/kxSQpNVFnRXgK5&#10;j4SdnGpSCQg6UJ0RS1Cjq7+o6opqaWRu96isgy4R7whkEYU73lyWRDGfC1ht1GC6+X+09OXqQqMq&#10;S3GMkSA1FPzH9fXPdx9uPn/8/f3rzbdPCYLh1/svKHZmtcokcOZSXeh+ZWCKlu0LmcFZ0ljpfVjn&#10;unZ+QIZo7e2+Guxma4sofIziWRzHBxhR2JtNJtOpr0dAks1p2hj7lEnPRFbPje3KlcHMm531khdQ&#10;zrzmULlHAYpnR1PU+r++vAMsGsGODqeoRDDugsCIgSu8g2h/CzPQgPRiI46UG710LXrBMEPE3bPQ&#10;m6SkceY49eDAInJKgAJQLrs7wCDPgffH4O5QH0RD0++2u/btvuxSVcQ6bS6Gm6IWig+eYVSm2Pnh&#10;Nmq5YgvpIdZp7AAQuDcMIt5CuBhDu2w2pez2AO5C+fSG8E71qMBG8io7rzh3UY0ulqdcoxWBi3vu&#10;f33CWzAunPrZge+iWkEbG1H4BLZgW2yh//2LTctGZF0NOJQgcM3u2rtr+6XMrqDVteweEXhCYVJK&#10;/RajFh4QCP2mIZphxJ8JuKGzaDIBK6xfTA6OYljo8c5yvEMEBaoUWwwN4qantnulGqWrooRIkU9L&#10;yCdwxfLK3QSvr1PVL+CR8Bb3D5p7hcZrj7p9xO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J3o&#10;NrPUAAAABwEAAA8AAAAAAAAAAQAgAAAAIgAAAGRycy9kb3ducmV2LnhtbFBLAQIUABQAAAAIAIdO&#10;4kBDvgCp0gIAAAwGAAAOAAAAAAAAAAEAIAAAACMBAABkcnMvZTJvRG9jLnhtbFBLBQYAAAAABgAG&#10;AFkBAABnBgAAAAA=&#10;" path="m2978,768l0,0e">
                      <v:path o:connectlocs="1292225,944880;0,0" o:connectangles="0,0"/>
                      <v:fill on="t" focussize="0,0"/>
                      <v:stroke color="#000000" joinstyle="round"/>
                      <v:imagedata o:title=""/>
                      <o:lock v:ext="edit" aspectratio="f"/>
                    </v:shape>
                  </w:pict>
                </mc:Fallback>
              </mc:AlternateContent>
            </w:r>
            <w:r>
              <w:rPr>
                <w:rFonts w:ascii="宋体" w:hAnsi="宋体" w:cs="宋体"/>
                <w:sz w:val="24"/>
              </w:rPr>
              <mc:AlternateContent>
                <mc:Choice Requires="wps">
                  <w:drawing>
                    <wp:anchor distT="0" distB="0" distL="114300" distR="114300" simplePos="0" relativeHeight="251666432" behindDoc="0" locked="0" layoutInCell="1" allowOverlap="1">
                      <wp:simplePos x="0" y="0"/>
                      <wp:positionH relativeFrom="column">
                        <wp:posOffset>16510</wp:posOffset>
                      </wp:positionH>
                      <wp:positionV relativeFrom="paragraph">
                        <wp:posOffset>11430</wp:posOffset>
                      </wp:positionV>
                      <wp:extent cx="1541780" cy="503555"/>
                      <wp:effectExtent l="1270" t="4445" r="19050" b="6350"/>
                      <wp:wrapNone/>
                      <wp:docPr id="3" name="任意多边形: 形状 3"/>
                      <wp:cNvGraphicFramePr/>
                      <a:graphic xmlns:a="http://schemas.openxmlformats.org/drawingml/2006/main">
                        <a:graphicData uri="http://schemas.microsoft.com/office/word/2010/wordprocessingShape">
                          <wps:wsp>
                            <wps:cNvSpPr/>
                            <wps:spPr bwMode="auto">
                              <a:xfrm>
                                <a:off x="0" y="0"/>
                                <a:ext cx="1541780" cy="503555"/>
                              </a:xfrm>
                              <a:custGeom>
                                <a:avLst/>
                                <a:gdLst>
                                  <a:gd name="T0" fmla="*/ 1470 w 1470"/>
                                  <a:gd name="T1" fmla="*/ 1321 h 1321"/>
                                  <a:gd name="T2" fmla="*/ 0 w 1470"/>
                                  <a:gd name="T3" fmla="*/ 0 h 1321"/>
                                </a:gdLst>
                                <a:ahLst/>
                                <a:cxnLst>
                                  <a:cxn ang="0">
                                    <a:pos x="T0" y="T1"/>
                                  </a:cxn>
                                  <a:cxn ang="0">
                                    <a:pos x="T2" y="T3"/>
                                  </a:cxn>
                                </a:cxnLst>
                                <a:rect l="0" t="0" r="r" b="b"/>
                                <a:pathLst>
                                  <a:path w="1470" h="1321">
                                    <a:moveTo>
                                      <a:pt x="1470" y="1321"/>
                                    </a:moveTo>
                                    <a:lnTo>
                                      <a:pt x="0" y="0"/>
                                    </a:lnTo>
                                  </a:path>
                                </a:pathLst>
                              </a:custGeom>
                              <a:solidFill>
                                <a:srgbClr val="FFFFFF"/>
                              </a:solidFill>
                              <a:ln w="9525" cmpd="sng">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形状 3" o:spid="_x0000_s1026" o:spt="100" style="position:absolute;left:0pt;margin-left:1.3pt;margin-top:0.9pt;height:39.65pt;width:121.4pt;z-index:251666432;mso-width-relative:page;mso-height-relative:page;" fillcolor="#FFFFFF" filled="t" stroked="t" coordsize="1470,1321" o:gfxdata="UEsDBAoAAAAAAIdO4kAAAAAAAAAAAAAAAAAEAAAAZHJzL1BLAwQUAAAACACHTuJA7jM/kNUAAAAG&#10;AQAADwAAAGRycy9kb3ducmV2LnhtbE2O3UrEMBCF7wXfIYzgnZumrGWtTRcRCrK4gtUHyDazTbGZ&#10;lCb74z6945Venh/O+ar12Y/iiHMcAmlQiwwEUhfsQL2Gz4/mbgUiJkPWjIFQwzdGWNfXV5UpbTjR&#10;Ox7b1AseoVgaDS6lqZQydg69iYswIXG2D7M3ieXcSzubE4/7UeZZVkhvBuIHZyZ8dth9tQevoSny&#10;y9vrpXFPar91m027nV4ekta3Nyp7BJHwnP7K8IvP6FAz0y4cyEYxasgLLrLN/Jzmy/sliJ2GlVIg&#10;60r+x69/AFBLAwQUAAAACACHTuJAKyqUr9UCAAARBgAADgAAAGRycy9lMm9Eb2MueG1srVTLbtQw&#10;FN0j8Q+Wl0g0ycyEtlEzFWpVhMSjUocP8DjOQ3JsYzuTKWtWbNizRHwDEqrgayjwGVzbmWk6gNQF&#10;s0iuxyfnnnvutY+O1y1HK6ZNI0WOk70YIyaoLBpR5fjV4uzhAUbGElEQLgXL8SUz+Hh+/95RrzI2&#10;kbXkBdMISITJepXj2lqVRZGhNWuJ2ZOKCdgspW6JhaWuokKTHthbHk3i+FHUS10oLSkzBv49DZt4&#10;YNR3IZRl2VB2KmnXMmEDq2acWCjJ1I0yeO7VliWj9mVZGmYRzzFUav0TkkC8dM9ofkSyShNVN3SQ&#10;QO4iYaemljQCkm6pToklqNPNH1RtQ7U0srR7VLZRKMQ7AlUk8Y43FzVRzNcCVhu1Nd38P1r6YnWu&#10;UVPkeIqRIC00/PvV1Y+3768/ffj17cv1148ZgsfPd5/R1JnVK5PBNxfqXA8rAyFa9s9lAd+Szkrv&#10;w7rUrfMDKkRrb/fl1m62tojCn0k6S/YPoBMU9tJ4mqapSxGRbPM17Yx9wqRnIqtnxoZ2FRB5s4tB&#10;8gJIypZD5x5EKJntx6j3r6G9W1gyhk0nCapRAq9d2GQE+xcV2LXNGI94QH210UfqjWS6FoNmiBBx&#10;Ry32PilpnD+uADBh4aUABaBcgf8Agz4H9g3ZgMN7SKJh7ncnXvuJX4ZaFbFOm8vhQtRDN8A2jGoI&#10;nCNup5UrtpAeY53IgIDMG88g5w2GizE21OPPF6DCHgQume/wVoDTPeqykbwpzhrOXVqjq+UJ12hF&#10;4PSe+d8wILdgXDj9h+kkhVFqFcyyEZWv4BbsFlvsf39j07ITRRhDDk2I3MS7GQ+zv5TFJcy7luEm&#10;gXsUglrqNxj1cItA6tcd0Qwj/lTAMT1MZjOwwvrFLN2fwEKPd5bjHSIoUOXYYhgRF57YcFV1SjdV&#10;DZlCY4R8DOesbNxx8PqCqmEBN4W3eLjV3FU0XnvUzU0+/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uMz+Q1QAAAAYBAAAPAAAAAAAAAAEAIAAAACIAAABkcnMvZG93bnJldi54bWxQSwECFAAUAAAA&#10;CACHTuJAKyqUr9UCAAARBgAADgAAAAAAAAABACAAAAAkAQAAZHJzL2Uyb0RvYy54bWxQSwUGAAAA&#10;AAYABgBZAQAAawYAAAAA&#10;" path="m1470,1321l0,0e">
                      <v:path o:connectlocs="1541780,503555;0,0" o:connectangles="0,0"/>
                      <v:fill on="t" focussize="0,0"/>
                      <v:stroke color="#000000" joinstyle="round"/>
                      <v:imagedata o:title=""/>
                      <o:lock v:ext="edit" aspectratio="f"/>
                    </v:shape>
                  </w:pict>
                </mc:Fallback>
              </mc:AlternateContent>
            </w:r>
            <w:r>
              <w:rPr>
                <w:rFonts w:hint="eastAsia" w:ascii="宋体" w:hAnsi="宋体" w:cs="宋体"/>
                <w:bCs/>
                <w:kern w:val="0"/>
                <w:szCs w:val="21"/>
              </w:rPr>
              <w:t>年 级</w:t>
            </w:r>
          </w:p>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r>
              <w:rPr>
                <w:rFonts w:hint="eastAsia" w:ascii="宋体" w:hAnsi="宋体" w:cs="宋体"/>
                <w:bCs/>
                <w:kern w:val="0"/>
                <w:szCs w:val="21"/>
                <w:lang w:val="en-US" w:eastAsia="zh-CN"/>
              </w:rPr>
              <w:t xml:space="preserve">  </w:t>
            </w:r>
            <w:r>
              <w:rPr>
                <w:rFonts w:hint="eastAsia" w:ascii="宋体" w:hAnsi="宋体" w:cs="宋体"/>
                <w:bCs/>
                <w:kern w:val="0"/>
                <w:szCs w:val="21"/>
              </w:rPr>
              <w:t>周课时</w:t>
            </w:r>
            <w:r>
              <w:rPr>
                <w:rFonts w:hint="eastAsia" w:ascii="宋体" w:hAnsi="宋体" w:cs="宋体"/>
                <w:bCs/>
                <w:kern w:val="0"/>
                <w:szCs w:val="21"/>
              </w:rPr>
              <w:br w:type="textWrapping"/>
            </w:r>
            <w:r>
              <w:rPr>
                <w:rFonts w:hint="eastAsia" w:ascii="宋体" w:hAnsi="宋体" w:cs="宋体"/>
                <w:bCs/>
                <w:kern w:val="0"/>
                <w:szCs w:val="21"/>
              </w:rPr>
              <w:t>课程、科目</w:t>
            </w:r>
          </w:p>
        </w:tc>
        <w:tc>
          <w:tcPr>
            <w:tcW w:w="652" w:type="dxa"/>
            <w:tcBorders>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jc w:val="both"/>
              <w:rPr>
                <w:rFonts w:ascii="宋体" w:hAnsi="宋体" w:cs="宋体"/>
                <w:bCs/>
                <w:kern w:val="0"/>
                <w:szCs w:val="21"/>
              </w:rPr>
            </w:pPr>
            <w:r>
              <w:rPr>
                <w:rFonts w:hint="eastAsia" w:ascii="宋体" w:hAnsi="宋体" w:cs="宋体"/>
                <w:bCs/>
                <w:kern w:val="0"/>
                <w:szCs w:val="21"/>
              </w:rPr>
              <w:t>一</w:t>
            </w:r>
          </w:p>
        </w:tc>
        <w:tc>
          <w:tcPr>
            <w:tcW w:w="840" w:type="dxa"/>
            <w:tcBorders>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both"/>
              <w:rPr>
                <w:rFonts w:ascii="宋体" w:hAnsi="宋体" w:cs="宋体"/>
                <w:bCs/>
                <w:kern w:val="0"/>
                <w:szCs w:val="21"/>
              </w:rPr>
            </w:pPr>
            <w:r>
              <w:rPr>
                <w:rFonts w:hint="eastAsia" w:ascii="宋体" w:hAnsi="宋体" w:cs="宋体"/>
                <w:bCs/>
                <w:kern w:val="0"/>
                <w:szCs w:val="21"/>
              </w:rPr>
              <w:t>二</w:t>
            </w:r>
          </w:p>
        </w:tc>
        <w:tc>
          <w:tcPr>
            <w:tcW w:w="840" w:type="dxa"/>
            <w:tcBorders>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jc w:val="both"/>
              <w:rPr>
                <w:rFonts w:ascii="宋体" w:hAnsi="宋体" w:cs="宋体"/>
                <w:bCs/>
                <w:kern w:val="0"/>
                <w:szCs w:val="21"/>
              </w:rPr>
            </w:pPr>
            <w:r>
              <w:rPr>
                <w:rFonts w:hint="eastAsia" w:ascii="宋体" w:hAnsi="宋体" w:cs="宋体"/>
                <w:bCs/>
                <w:kern w:val="0"/>
                <w:szCs w:val="21"/>
              </w:rPr>
              <w:t>三</w:t>
            </w:r>
          </w:p>
        </w:tc>
        <w:tc>
          <w:tcPr>
            <w:tcW w:w="930" w:type="dxa"/>
            <w:tcBorders>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both"/>
              <w:rPr>
                <w:rFonts w:ascii="宋体" w:hAnsi="宋体" w:cs="宋体"/>
                <w:bCs/>
                <w:kern w:val="0"/>
                <w:szCs w:val="21"/>
              </w:rPr>
            </w:pPr>
            <w:r>
              <w:rPr>
                <w:rFonts w:hint="eastAsia" w:ascii="宋体" w:hAnsi="宋体" w:cs="宋体"/>
                <w:bCs/>
                <w:kern w:val="0"/>
                <w:szCs w:val="21"/>
              </w:rPr>
              <w:t>四</w:t>
            </w:r>
          </w:p>
        </w:tc>
        <w:tc>
          <w:tcPr>
            <w:tcW w:w="945" w:type="dxa"/>
            <w:tcBorders>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both"/>
              <w:rPr>
                <w:rFonts w:ascii="宋体" w:hAnsi="宋体" w:cs="宋体"/>
                <w:bCs/>
                <w:kern w:val="0"/>
                <w:szCs w:val="21"/>
              </w:rPr>
            </w:pPr>
            <w:r>
              <w:rPr>
                <w:rFonts w:hint="eastAsia" w:ascii="宋体" w:hAnsi="宋体" w:cs="宋体"/>
                <w:bCs/>
                <w:kern w:val="0"/>
                <w:szCs w:val="21"/>
              </w:rPr>
              <w:t>五</w:t>
            </w:r>
          </w:p>
        </w:tc>
        <w:tc>
          <w:tcPr>
            <w:tcW w:w="2805" w:type="dxa"/>
            <w:tcBorders>
              <w:left w:val="single" w:color="auto" w:sz="4" w:space="0"/>
              <w:bottom w:val="single" w:color="auto" w:sz="4" w:space="0"/>
            </w:tcBorders>
            <w:shd w:val="clear" w:color="auto" w:fill="FFFFFF"/>
            <w:vAlign w:val="center"/>
          </w:tcPr>
          <w:p>
            <w:pPr>
              <w:pageBreakBefore w:val="0"/>
              <w:widowControl/>
              <w:kinsoku/>
              <w:overflowPunct/>
              <w:topLinePunct w:val="0"/>
              <w:autoSpaceDE/>
              <w:autoSpaceDN/>
              <w:bidi w:val="0"/>
              <w:spacing w:line="500" w:lineRule="exact"/>
              <w:jc w:val="center"/>
              <w:rPr>
                <w:rFonts w:ascii="宋体" w:hAnsi="宋体" w:cs="宋体"/>
                <w:bCs/>
                <w:kern w:val="0"/>
                <w:szCs w:val="21"/>
              </w:rPr>
            </w:pPr>
            <w:r>
              <w:rPr>
                <w:rFonts w:hint="eastAsia" w:ascii="宋体" w:hAnsi="宋体" w:cs="宋体"/>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blCellSpacing w:w="0" w:type="dxa"/>
          <w:jc w:val="center"/>
        </w:trPr>
        <w:tc>
          <w:tcPr>
            <w:tcW w:w="847" w:type="dxa"/>
            <w:vMerge w:val="restart"/>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基</w:t>
            </w:r>
            <w:r>
              <w:rPr>
                <w:rFonts w:hint="eastAsia" w:ascii="宋体" w:hAnsi="宋体" w:cs="宋体"/>
                <w:bCs/>
                <w:kern w:val="0"/>
                <w:szCs w:val="21"/>
              </w:rPr>
              <w:br w:type="textWrapping"/>
            </w:r>
            <w:r>
              <w:rPr>
                <w:rFonts w:hint="eastAsia" w:ascii="宋体" w:hAnsi="宋体" w:cs="宋体"/>
                <w:bCs/>
                <w:kern w:val="0"/>
                <w:szCs w:val="21"/>
              </w:rPr>
              <w:t>础</w:t>
            </w:r>
            <w:r>
              <w:rPr>
                <w:rFonts w:hint="eastAsia" w:ascii="宋体" w:hAnsi="宋体" w:cs="宋体"/>
                <w:bCs/>
                <w:kern w:val="0"/>
                <w:szCs w:val="21"/>
              </w:rPr>
              <w:br w:type="textWrapping"/>
            </w:r>
            <w:r>
              <w:rPr>
                <w:rFonts w:hint="eastAsia" w:ascii="宋体" w:hAnsi="宋体" w:cs="宋体"/>
                <w:bCs/>
                <w:kern w:val="0"/>
                <w:szCs w:val="21"/>
              </w:rPr>
              <w:t>型</w:t>
            </w:r>
            <w:r>
              <w:rPr>
                <w:rFonts w:hint="eastAsia" w:ascii="宋体" w:hAnsi="宋体" w:cs="宋体"/>
                <w:bCs/>
                <w:kern w:val="0"/>
                <w:szCs w:val="21"/>
              </w:rPr>
              <w:br w:type="textWrapping"/>
            </w:r>
            <w:r>
              <w:rPr>
                <w:rFonts w:hint="eastAsia" w:ascii="宋体" w:hAnsi="宋体" w:cs="宋体"/>
                <w:bCs/>
                <w:kern w:val="0"/>
                <w:szCs w:val="21"/>
              </w:rPr>
              <w:t>课</w:t>
            </w:r>
            <w:r>
              <w:rPr>
                <w:rFonts w:hint="eastAsia" w:ascii="宋体" w:hAnsi="宋体" w:cs="宋体"/>
                <w:bCs/>
                <w:kern w:val="0"/>
                <w:szCs w:val="21"/>
              </w:rPr>
              <w:br w:type="textWrapping"/>
            </w:r>
            <w:r>
              <w:rPr>
                <w:rFonts w:hint="eastAsia" w:ascii="宋体" w:hAnsi="宋体" w:cs="宋体"/>
                <w:bCs/>
                <w:kern w:val="0"/>
                <w:szCs w:val="21"/>
              </w:rPr>
              <w:t>程</w:t>
            </w: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语 文</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9</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9</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6</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6</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6</w:t>
            </w:r>
          </w:p>
        </w:tc>
        <w:tc>
          <w:tcPr>
            <w:tcW w:w="2805" w:type="dxa"/>
            <w:vMerge w:val="restar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一年级入学初，各学科设置4周的学习准备期。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226"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数 学</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3</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4</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4</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5</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420"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外 语</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4</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5</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405"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自 然</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405"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道德与法治</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3</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3</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唱游/音乐</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美 术</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1</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体育与健身</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ascii="宋体" w:hAnsi="宋体" w:cs="宋体"/>
                <w:bCs/>
                <w:kern w:val="0"/>
                <w:szCs w:val="21"/>
              </w:rPr>
              <w:t>5</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ascii="宋体" w:hAnsi="宋体" w:cs="宋体"/>
                <w:bCs/>
                <w:kern w:val="0"/>
                <w:szCs w:val="21"/>
              </w:rPr>
              <w:t>5</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ascii="宋体" w:hAnsi="宋体" w:cs="宋体"/>
                <w:bCs/>
                <w:kern w:val="0"/>
                <w:szCs w:val="21"/>
              </w:rPr>
              <w:t>5</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ascii="宋体" w:hAnsi="宋体" w:cs="宋体"/>
                <w:bCs/>
                <w:kern w:val="0"/>
                <w:szCs w:val="21"/>
              </w:rPr>
              <w:t>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ascii="宋体" w:hAnsi="宋体" w:cs="宋体"/>
                <w:bCs/>
                <w:kern w:val="0"/>
                <w:szCs w:val="21"/>
              </w:rPr>
              <w:t>5</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信息科技</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劳动技术</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1</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485"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周课时数</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210" w:firstLineChars="100"/>
              <w:jc w:val="center"/>
              <w:textAlignment w:val="auto"/>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7</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210" w:firstLineChars="100"/>
              <w:jc w:val="center"/>
              <w:textAlignment w:val="auto"/>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8</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9</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ascii="宋体" w:hAnsi="宋体" w:cs="宋体"/>
                <w:bCs/>
                <w:kern w:val="0"/>
                <w:szCs w:val="21"/>
              </w:rPr>
              <w:t>30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ascii="宋体" w:hAnsi="宋体" w:cs="宋体"/>
                <w:bCs/>
                <w:kern w:val="0"/>
                <w:szCs w:val="21"/>
              </w:rPr>
              <w:t>30</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15" w:hRule="atLeast"/>
          <w:tblCellSpacing w:w="0" w:type="dxa"/>
          <w:jc w:val="center"/>
        </w:trPr>
        <w:tc>
          <w:tcPr>
            <w:tcW w:w="847" w:type="dxa"/>
            <w:vMerge w:val="restart"/>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left="210" w:leftChars="100"/>
              <w:textAlignment w:val="auto"/>
              <w:rPr>
                <w:rFonts w:ascii="宋体" w:hAnsi="宋体" w:cs="宋体"/>
                <w:bCs/>
                <w:kern w:val="0"/>
                <w:szCs w:val="21"/>
              </w:rPr>
            </w:pPr>
            <w:r>
              <w:rPr>
                <w:rFonts w:hint="eastAsia" w:ascii="宋体" w:hAnsi="宋体" w:cs="宋体"/>
                <w:bCs/>
                <w:kern w:val="0"/>
                <w:szCs w:val="21"/>
              </w:rPr>
              <w:t>拓</w:t>
            </w:r>
            <w:r>
              <w:rPr>
                <w:rFonts w:hint="eastAsia" w:ascii="宋体" w:hAnsi="宋体" w:cs="宋体"/>
                <w:bCs/>
                <w:kern w:val="0"/>
                <w:szCs w:val="21"/>
              </w:rPr>
              <w:br w:type="textWrapping"/>
            </w:r>
            <w:r>
              <w:rPr>
                <w:rFonts w:hint="eastAsia" w:ascii="宋体" w:hAnsi="宋体" w:cs="宋体"/>
                <w:bCs/>
                <w:kern w:val="0"/>
                <w:szCs w:val="21"/>
              </w:rPr>
              <w:t>展</w:t>
            </w:r>
            <w:r>
              <w:rPr>
                <w:rFonts w:hint="eastAsia" w:ascii="宋体" w:hAnsi="宋体" w:cs="宋体"/>
                <w:bCs/>
                <w:kern w:val="0"/>
                <w:szCs w:val="21"/>
              </w:rPr>
              <w:br w:type="textWrapping"/>
            </w:r>
            <w:r>
              <w:rPr>
                <w:rFonts w:hint="eastAsia" w:ascii="宋体" w:hAnsi="宋体" w:cs="宋体"/>
                <w:bCs/>
                <w:kern w:val="0"/>
                <w:szCs w:val="21"/>
              </w:rPr>
              <w:t>型</w:t>
            </w:r>
            <w:r>
              <w:rPr>
                <w:rFonts w:hint="eastAsia" w:ascii="宋体" w:hAnsi="宋体" w:cs="宋体"/>
                <w:bCs/>
                <w:kern w:val="0"/>
                <w:szCs w:val="21"/>
              </w:rPr>
              <w:br w:type="textWrapping"/>
            </w:r>
            <w:r>
              <w:rPr>
                <w:rFonts w:hint="eastAsia" w:ascii="宋体" w:hAnsi="宋体" w:cs="宋体"/>
                <w:bCs/>
                <w:kern w:val="0"/>
                <w:szCs w:val="21"/>
              </w:rPr>
              <w:t>课</w:t>
            </w:r>
            <w:r>
              <w:rPr>
                <w:rFonts w:hint="eastAsia" w:ascii="宋体" w:hAnsi="宋体" w:cs="宋体"/>
                <w:bCs/>
                <w:kern w:val="0"/>
                <w:szCs w:val="21"/>
              </w:rPr>
              <w:br w:type="textWrapping"/>
            </w:r>
            <w:r>
              <w:rPr>
                <w:rFonts w:hint="eastAsia" w:ascii="宋体" w:hAnsi="宋体" w:cs="宋体"/>
                <w:bCs/>
                <w:kern w:val="0"/>
                <w:szCs w:val="21"/>
              </w:rPr>
              <w:t>程</w:t>
            </w: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兴趣活动</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hint="eastAsia" w:ascii="宋体" w:hAnsi="宋体" w:cs="宋体"/>
                <w:bCs/>
                <w:kern w:val="0"/>
                <w:szCs w:val="21"/>
              </w:rPr>
              <w:t>2</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r>
              <w:rPr>
                <w:rFonts w:ascii="宋体" w:hAnsi="宋体" w:cs="宋体"/>
                <w:bCs/>
                <w:kern w:val="0"/>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ascii="宋体" w:hAnsi="宋体" w:cs="宋体"/>
                <w:bCs/>
                <w:kern w:val="0"/>
                <w:szCs w:val="21"/>
              </w:rPr>
              <w:t>1</w:t>
            </w:r>
          </w:p>
        </w:tc>
        <w:tc>
          <w:tcPr>
            <w:tcW w:w="2805" w:type="dxa"/>
            <w:vMerge w:val="restar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Cs/>
                <w:kern w:val="0"/>
                <w:szCs w:val="21"/>
              </w:rPr>
            </w:pPr>
            <w:r>
              <w:rPr>
                <w:rFonts w:hint="eastAsia" w:ascii="宋体" w:hAnsi="宋体" w:cs="宋体"/>
                <w:bCs/>
                <w:kern w:val="0"/>
                <w:szCs w:val="21"/>
              </w:rPr>
              <w:t>部分内容采用“快乐活动日”的形式进行实施。学校每周三下午（4课时：兴趣活动2节、体育活动1节、班队课1节）实施“快乐活动日”。备注：其中二至五年级有1课时体育活动在课后服务进行。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615"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体育活动</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right="210"/>
              <w:jc w:val="center"/>
              <w:textAlignment w:val="auto"/>
              <w:rPr>
                <w:rFonts w:ascii="宋体" w:hAnsi="宋体" w:cs="宋体"/>
                <w:bCs/>
                <w:kern w:val="0"/>
                <w:szCs w:val="21"/>
              </w:rPr>
            </w:pPr>
            <w:r>
              <w:rPr>
                <w:rFonts w:ascii="宋体" w:hAnsi="宋体" w:cs="宋体"/>
                <w:bCs/>
                <w:kern w:val="0"/>
                <w:szCs w:val="21"/>
              </w:rPr>
              <w:t>1</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ascii="宋体" w:hAnsi="宋体" w:cs="宋体"/>
                <w:bCs/>
                <w:kern w:val="0"/>
                <w:szCs w:val="21"/>
              </w:rPr>
              <w:t>1</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ascii="宋体" w:hAnsi="宋体" w:cs="宋体"/>
                <w:bCs/>
                <w:kern w:val="0"/>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ascii="宋体" w:hAnsi="宋体" w:cs="宋体"/>
                <w:bCs/>
                <w:kern w:val="0"/>
                <w:szCs w:val="21"/>
              </w:rPr>
              <w:t>1</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5"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班队课</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1</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1</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1</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1</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0"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社会实践</w:t>
            </w:r>
          </w:p>
        </w:tc>
        <w:tc>
          <w:tcPr>
            <w:tcW w:w="14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每学年1至2周</w:t>
            </w:r>
          </w:p>
        </w:tc>
        <w:tc>
          <w:tcPr>
            <w:tcW w:w="271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每学年2周</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49" w:hRule="atLeast"/>
          <w:tblCellSpacing w:w="0" w:type="dxa"/>
          <w:jc w:val="center"/>
        </w:trPr>
        <w:tc>
          <w:tcPr>
            <w:tcW w:w="847" w:type="dxa"/>
            <w:vMerge w:val="continue"/>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周课时数</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6</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5</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5</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5</w:t>
            </w:r>
          </w:p>
        </w:tc>
        <w:tc>
          <w:tcPr>
            <w:tcW w:w="2805" w:type="dxa"/>
            <w:vMerge w:val="continue"/>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center"/>
              <w:textAlignment w:val="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0" w:type="dxa"/>
            <w:bottom w:w="0" w:type="dxa"/>
            <w:right w:w="0" w:type="dxa"/>
          </w:tblCellMar>
        </w:tblPrEx>
        <w:trPr>
          <w:trHeight w:val="910" w:hRule="atLeast"/>
          <w:tblCellSpacing w:w="0" w:type="dxa"/>
          <w:jc w:val="center"/>
        </w:trPr>
        <w:tc>
          <w:tcPr>
            <w:tcW w:w="847"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Cs/>
                <w:kern w:val="0"/>
                <w:szCs w:val="21"/>
              </w:rPr>
            </w:pPr>
            <w:r>
              <w:rPr>
                <w:rFonts w:hint="eastAsia" w:ascii="宋体" w:hAnsi="宋体" w:cs="宋体"/>
                <w:bCs/>
                <w:kern w:val="0"/>
                <w:szCs w:val="21"/>
              </w:rPr>
              <w:t>探究型课程</w:t>
            </w:r>
          </w:p>
        </w:tc>
        <w:tc>
          <w:tcPr>
            <w:tcW w:w="1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周课时数</w:t>
            </w:r>
          </w:p>
        </w:tc>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1</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1</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1</w:t>
            </w:r>
          </w:p>
        </w:tc>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1</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ascii="宋体" w:hAnsi="宋体" w:cs="宋体"/>
                <w:bCs/>
                <w:kern w:val="0"/>
                <w:szCs w:val="21"/>
              </w:rPr>
            </w:pPr>
            <w:r>
              <w:rPr>
                <w:rFonts w:hint="eastAsia" w:ascii="宋体" w:hAnsi="宋体" w:cs="宋体"/>
                <w:bCs/>
                <w:kern w:val="0"/>
                <w:szCs w:val="21"/>
              </w:rPr>
              <w:t>1</w:t>
            </w:r>
          </w:p>
        </w:tc>
        <w:tc>
          <w:tcPr>
            <w:tcW w:w="280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40" w:lineRule="exact"/>
              <w:ind w:firstLine="630" w:firstLineChars="300"/>
              <w:textAlignment w:val="auto"/>
              <w:rPr>
                <w:rFonts w:ascii="宋体" w:hAnsi="宋体" w:cs="宋体"/>
                <w:bCs/>
                <w:kern w:val="0"/>
                <w:szCs w:val="21"/>
              </w:rPr>
            </w:pPr>
            <w:r>
              <w:rPr>
                <w:rFonts w:hint="eastAsia" w:ascii="宋体" w:hAnsi="宋体" w:cs="宋体"/>
                <w:bCs/>
                <w:kern w:val="0"/>
                <w:szCs w:val="21"/>
              </w:rPr>
              <w:t>单独设置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1" w:hRule="atLeast"/>
          <w:tblCellSpacing w:w="0" w:type="dxa"/>
          <w:jc w:val="center"/>
        </w:trPr>
        <w:tc>
          <w:tcPr>
            <w:tcW w:w="2659" w:type="dxa"/>
            <w:gridSpan w:val="2"/>
            <w:tcBorders>
              <w:top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晨会</w:t>
            </w:r>
          </w:p>
        </w:tc>
        <w:tc>
          <w:tcPr>
            <w:tcW w:w="42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每天15分钟</w:t>
            </w:r>
          </w:p>
        </w:tc>
        <w:tc>
          <w:tcPr>
            <w:tcW w:w="2805" w:type="dxa"/>
            <w:tcBorders>
              <w:top w:val="single" w:color="auto" w:sz="4" w:space="0"/>
              <w:left w:val="single" w:color="auto" w:sz="4" w:space="0"/>
              <w:bottom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blCellSpacing w:w="0" w:type="dxa"/>
          <w:jc w:val="center"/>
        </w:trPr>
        <w:tc>
          <w:tcPr>
            <w:tcW w:w="2659" w:type="dxa"/>
            <w:gridSpan w:val="2"/>
            <w:tcBorders>
              <w:top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广播操、眼保健操</w:t>
            </w:r>
          </w:p>
        </w:tc>
        <w:tc>
          <w:tcPr>
            <w:tcW w:w="42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每天</w:t>
            </w:r>
            <w:r>
              <w:rPr>
                <w:rFonts w:hint="eastAsia" w:ascii="宋体" w:hAnsi="宋体" w:cs="宋体"/>
                <w:bCs/>
                <w:kern w:val="0"/>
                <w:szCs w:val="21"/>
                <w:lang w:val="en-US" w:eastAsia="zh-CN"/>
              </w:rPr>
              <w:t>40</w:t>
            </w:r>
            <w:r>
              <w:rPr>
                <w:rFonts w:hint="eastAsia" w:ascii="宋体" w:hAnsi="宋体" w:cs="宋体"/>
                <w:bCs/>
                <w:kern w:val="0"/>
                <w:szCs w:val="21"/>
              </w:rPr>
              <w:t>分钟</w:t>
            </w:r>
          </w:p>
        </w:tc>
        <w:tc>
          <w:tcPr>
            <w:tcW w:w="2805" w:type="dxa"/>
            <w:tcBorders>
              <w:top w:val="single" w:color="auto" w:sz="4" w:space="0"/>
              <w:left w:val="single" w:color="auto" w:sz="4" w:space="0"/>
              <w:bottom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0" w:hRule="atLeast"/>
          <w:tblCellSpacing w:w="0" w:type="dxa"/>
          <w:jc w:val="center"/>
        </w:trPr>
        <w:tc>
          <w:tcPr>
            <w:tcW w:w="2659" w:type="dxa"/>
            <w:gridSpan w:val="2"/>
            <w:tcBorders>
              <w:top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周课时总量</w:t>
            </w:r>
          </w:p>
        </w:tc>
        <w:tc>
          <w:tcPr>
            <w:tcW w:w="652" w:type="dxa"/>
            <w:tcBorders>
              <w:top w:val="single" w:color="auto" w:sz="4" w:space="0"/>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jc w:val="center"/>
              <w:rPr>
                <w:rFonts w:ascii="宋体" w:hAnsi="宋体" w:cs="宋体"/>
                <w:bCs/>
                <w:kern w:val="0"/>
                <w:szCs w:val="21"/>
              </w:rPr>
            </w:pPr>
            <w:r>
              <w:rPr>
                <w:rFonts w:hint="eastAsia" w:ascii="宋体" w:hAnsi="宋体" w:cs="宋体"/>
                <w:bCs/>
                <w:kern w:val="0"/>
                <w:szCs w:val="21"/>
              </w:rPr>
              <w:t>33</w:t>
            </w:r>
          </w:p>
        </w:tc>
        <w:tc>
          <w:tcPr>
            <w:tcW w:w="840" w:type="dxa"/>
            <w:tcBorders>
              <w:top w:val="single" w:color="auto" w:sz="4" w:space="0"/>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jc w:val="center"/>
              <w:rPr>
                <w:rFonts w:ascii="宋体" w:hAnsi="宋体" w:cs="宋体"/>
                <w:b/>
                <w:bCs/>
                <w:kern w:val="0"/>
                <w:sz w:val="24"/>
              </w:rPr>
            </w:pPr>
            <w:r>
              <w:rPr>
                <w:rFonts w:hint="eastAsia" w:ascii="宋体" w:hAnsi="宋体" w:cs="宋体"/>
                <w:bCs/>
                <w:kern w:val="0"/>
                <w:szCs w:val="21"/>
              </w:rPr>
              <w:t>33</w:t>
            </w:r>
          </w:p>
        </w:tc>
        <w:tc>
          <w:tcPr>
            <w:tcW w:w="840" w:type="dxa"/>
            <w:tcBorders>
              <w:top w:val="single" w:color="auto" w:sz="4" w:space="0"/>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jc w:val="center"/>
              <w:rPr>
                <w:rFonts w:ascii="宋体" w:hAnsi="宋体" w:cs="宋体"/>
                <w:bCs/>
                <w:kern w:val="0"/>
                <w:szCs w:val="21"/>
              </w:rPr>
            </w:pPr>
            <w:r>
              <w:rPr>
                <w:rFonts w:hint="eastAsia" w:ascii="宋体" w:hAnsi="宋体" w:cs="宋体"/>
                <w:bCs/>
                <w:kern w:val="0"/>
                <w:szCs w:val="21"/>
              </w:rPr>
              <w:t>34</w:t>
            </w:r>
          </w:p>
        </w:tc>
        <w:tc>
          <w:tcPr>
            <w:tcW w:w="930" w:type="dxa"/>
            <w:tcBorders>
              <w:top w:val="single" w:color="auto" w:sz="4" w:space="0"/>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jc w:val="center"/>
              <w:rPr>
                <w:rFonts w:ascii="宋体" w:hAnsi="宋体" w:cs="宋体"/>
                <w:bCs/>
                <w:kern w:val="0"/>
                <w:szCs w:val="21"/>
              </w:rPr>
            </w:pPr>
            <w:r>
              <w:rPr>
                <w:rFonts w:hint="eastAsia" w:ascii="宋体" w:hAnsi="宋体" w:cs="宋体"/>
                <w:bCs/>
                <w:kern w:val="0"/>
                <w:szCs w:val="21"/>
              </w:rPr>
              <w:t>34</w:t>
            </w:r>
          </w:p>
        </w:tc>
        <w:tc>
          <w:tcPr>
            <w:tcW w:w="945" w:type="dxa"/>
            <w:tcBorders>
              <w:top w:val="single" w:color="auto" w:sz="4" w:space="0"/>
              <w:left w:val="single" w:color="auto" w:sz="4" w:space="0"/>
              <w:right w:val="single" w:color="auto" w:sz="4" w:space="0"/>
            </w:tcBorders>
            <w:shd w:val="clear" w:color="auto" w:fill="FFFFFF"/>
            <w:vAlign w:val="center"/>
          </w:tcPr>
          <w:p>
            <w:pPr>
              <w:pageBreakBefore w:val="0"/>
              <w:widowControl/>
              <w:kinsoku/>
              <w:overflowPunct/>
              <w:topLinePunct w:val="0"/>
              <w:autoSpaceDE/>
              <w:autoSpaceDN/>
              <w:bidi w:val="0"/>
              <w:spacing w:line="500" w:lineRule="exact"/>
              <w:jc w:val="center"/>
              <w:rPr>
                <w:rFonts w:ascii="宋体" w:hAnsi="宋体" w:cs="宋体"/>
                <w:bCs/>
                <w:kern w:val="0"/>
                <w:szCs w:val="21"/>
              </w:rPr>
            </w:pPr>
            <w:r>
              <w:rPr>
                <w:rFonts w:hint="eastAsia" w:ascii="宋体" w:hAnsi="宋体" w:cs="宋体"/>
                <w:bCs/>
                <w:kern w:val="0"/>
                <w:szCs w:val="21"/>
              </w:rPr>
              <w:t>34</w:t>
            </w:r>
          </w:p>
        </w:tc>
        <w:tc>
          <w:tcPr>
            <w:tcW w:w="2805" w:type="dxa"/>
            <w:tcBorders>
              <w:top w:val="single" w:color="auto" w:sz="4" w:space="0"/>
              <w:left w:val="single" w:color="auto" w:sz="4" w:space="0"/>
            </w:tcBorders>
            <w:shd w:val="clear" w:color="auto" w:fill="FFFFFF"/>
            <w:vAlign w:val="center"/>
          </w:tcPr>
          <w:p>
            <w:pPr>
              <w:pageBreakBefore w:val="0"/>
              <w:widowControl/>
              <w:kinsoku/>
              <w:overflowPunct/>
              <w:topLinePunct w:val="0"/>
              <w:autoSpaceDE/>
              <w:autoSpaceDN/>
              <w:bidi w:val="0"/>
              <w:spacing w:line="500" w:lineRule="exact"/>
              <w:jc w:val="center"/>
              <w:rPr>
                <w:rFonts w:ascii="宋体" w:hAnsi="宋体" w:cs="宋体"/>
                <w:bCs/>
                <w:kern w:val="0"/>
                <w:szCs w:val="21"/>
              </w:rPr>
            </w:pPr>
            <w:r>
              <w:rPr>
                <w:rFonts w:hint="eastAsia" w:ascii="宋体" w:hAnsi="宋体" w:cs="宋体"/>
                <w:bCs/>
                <w:kern w:val="0"/>
                <w:szCs w:val="21"/>
              </w:rPr>
              <w:t>每课时按35分钟计</w:t>
            </w:r>
          </w:p>
        </w:tc>
      </w:tr>
    </w:tbl>
    <w:p>
      <w:pPr>
        <w:pageBreakBefore w:val="0"/>
        <w:widowControl/>
        <w:kinsoku/>
        <w:overflowPunct/>
        <w:topLinePunct w:val="0"/>
        <w:autoSpaceDE/>
        <w:autoSpaceDN/>
        <w:bidi w:val="0"/>
        <w:spacing w:line="500" w:lineRule="exact"/>
        <w:jc w:val="center"/>
        <w:rPr>
          <w:rFonts w:ascii="宋体" w:hAnsi="宋体" w:cs="宋体"/>
          <w:b/>
          <w:bCs/>
          <w:kern w:val="0"/>
          <w:sz w:val="24"/>
        </w:rPr>
      </w:pPr>
      <w:r>
        <w:rPr>
          <w:rFonts w:hint="eastAsia" w:ascii="宋体" w:hAnsi="宋体" w:cs="宋体"/>
          <w:b/>
          <w:bCs/>
          <w:kern w:val="0"/>
          <w:sz w:val="24"/>
          <w:lang w:val="en-US" w:eastAsia="zh-CN"/>
        </w:rPr>
        <w:t>嘉定区</w:t>
      </w:r>
      <w:r>
        <w:rPr>
          <w:rFonts w:hint="eastAsia" w:ascii="宋体" w:hAnsi="宋体" w:cs="宋体"/>
          <w:b/>
          <w:bCs/>
          <w:kern w:val="0"/>
          <w:sz w:val="24"/>
        </w:rPr>
        <w:t>曹王小学20</w:t>
      </w:r>
      <w:r>
        <w:rPr>
          <w:rFonts w:hint="eastAsia" w:ascii="宋体" w:hAnsi="宋体" w:cs="宋体"/>
          <w:b/>
          <w:bCs/>
          <w:kern w:val="0"/>
          <w:sz w:val="24"/>
          <w:lang w:val="en-US" w:eastAsia="zh-CN"/>
        </w:rPr>
        <w:t>22</w:t>
      </w:r>
      <w:r>
        <w:rPr>
          <w:rFonts w:hint="eastAsia" w:ascii="宋体" w:hAnsi="宋体" w:cs="宋体"/>
          <w:b/>
          <w:bCs/>
          <w:kern w:val="0"/>
          <w:sz w:val="24"/>
        </w:rPr>
        <w:t>学年度作息时间表</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2003"/>
        <w:gridCol w:w="1283"/>
        <w:gridCol w:w="1163"/>
        <w:gridCol w:w="1163"/>
        <w:gridCol w:w="1163"/>
        <w:gridCol w:w="1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1283" w:type="dxa"/>
            <w:tcBorders>
              <w:top w:val="nil"/>
              <w:left w:val="nil"/>
              <w:bottom w:val="single" w:color="auto" w:sz="4" w:space="0"/>
              <w:right w:val="nil"/>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i w:val="0"/>
                <w:iCs w:val="0"/>
                <w:color w:val="000000"/>
                <w:sz w:val="20"/>
                <w:szCs w:val="20"/>
                <w:u w:val="none"/>
              </w:rPr>
            </w:pPr>
          </w:p>
        </w:tc>
        <w:tc>
          <w:tcPr>
            <w:tcW w:w="2003" w:type="dxa"/>
            <w:tcBorders>
              <w:top w:val="nil"/>
              <w:left w:val="nil"/>
              <w:bottom w:val="single" w:color="auto" w:sz="4" w:space="0"/>
              <w:right w:val="nil"/>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i w:val="0"/>
                <w:iCs w:val="0"/>
                <w:color w:val="000000"/>
                <w:sz w:val="20"/>
                <w:szCs w:val="20"/>
                <w:u w:val="none"/>
              </w:rPr>
            </w:pPr>
          </w:p>
        </w:tc>
        <w:tc>
          <w:tcPr>
            <w:tcW w:w="1283" w:type="dxa"/>
            <w:tcBorders>
              <w:top w:val="nil"/>
              <w:left w:val="nil"/>
              <w:bottom w:val="single" w:color="auto" w:sz="4" w:space="0"/>
              <w:right w:val="nil"/>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i w:val="0"/>
                <w:iCs w:val="0"/>
                <w:color w:val="000000"/>
                <w:sz w:val="20"/>
                <w:szCs w:val="20"/>
                <w:u w:val="none"/>
              </w:rPr>
            </w:pPr>
          </w:p>
        </w:tc>
        <w:tc>
          <w:tcPr>
            <w:tcW w:w="1163" w:type="dxa"/>
            <w:tcBorders>
              <w:top w:val="nil"/>
              <w:left w:val="nil"/>
              <w:bottom w:val="single" w:color="auto" w:sz="4" w:space="0"/>
              <w:right w:val="nil"/>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i w:val="0"/>
                <w:iCs w:val="0"/>
                <w:color w:val="000000"/>
                <w:sz w:val="20"/>
                <w:szCs w:val="20"/>
                <w:u w:val="none"/>
              </w:rPr>
            </w:pPr>
          </w:p>
        </w:tc>
        <w:tc>
          <w:tcPr>
            <w:tcW w:w="1163" w:type="dxa"/>
            <w:tcBorders>
              <w:top w:val="nil"/>
              <w:left w:val="nil"/>
              <w:bottom w:val="single" w:color="auto" w:sz="4" w:space="0"/>
              <w:right w:val="nil"/>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i w:val="0"/>
                <w:iCs w:val="0"/>
                <w:color w:val="000000"/>
                <w:sz w:val="20"/>
                <w:szCs w:val="20"/>
                <w:u w:val="none"/>
              </w:rPr>
            </w:pPr>
          </w:p>
        </w:tc>
        <w:tc>
          <w:tcPr>
            <w:tcW w:w="1163" w:type="dxa"/>
            <w:tcBorders>
              <w:top w:val="nil"/>
              <w:left w:val="nil"/>
              <w:bottom w:val="single" w:color="auto" w:sz="4" w:space="0"/>
              <w:right w:val="nil"/>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i w:val="0"/>
                <w:iCs w:val="0"/>
                <w:color w:val="000000"/>
                <w:sz w:val="20"/>
                <w:szCs w:val="20"/>
                <w:u w:val="none"/>
              </w:rPr>
            </w:pPr>
          </w:p>
        </w:tc>
        <w:tc>
          <w:tcPr>
            <w:tcW w:w="1452" w:type="dxa"/>
            <w:tcBorders>
              <w:top w:val="nil"/>
              <w:left w:val="nil"/>
              <w:bottom w:val="single" w:color="auto" w:sz="4" w:space="0"/>
              <w:right w:val="nil"/>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上午</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8:20～8:55</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9:05～9:40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r>
              <w:rPr>
                <w:rStyle w:val="20"/>
                <w:lang w:val="en-US" w:eastAsia="zh-CN" w:bidi="ar"/>
              </w:rPr>
              <w:t>5～10:15</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学生大课间体育活动（周一升旗仪式）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r>
              <w:rPr>
                <w:rStyle w:val="20"/>
                <w:lang w:val="en-US" w:eastAsia="zh-CN" w:bidi="ar"/>
              </w:rPr>
              <w:t>～11:00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第三节(眼部运动）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11:10～11:45</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中午</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11:50～12:20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学生午餐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12:20～12:50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13:00～13:15</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下午</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13:25～14:00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第五节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14:10～14:50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第六节（眼部运动）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15:00～15:35</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第七节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15:45～16:20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课后服务第一时间段（第八节）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16:30～18:00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课后服务第二第三时间段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62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错峰放学</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年级</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周一至周四时间</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overflowPunct/>
              <w:topLinePunct w:val="0"/>
              <w:autoSpaceDE/>
              <w:autoSpaceDN/>
              <w:bidi w:val="0"/>
              <w:spacing w:line="500" w:lineRule="exact"/>
              <w:jc w:val="center"/>
              <w:rPr>
                <w:rFonts w:hint="eastAsia" w:ascii="宋体" w:hAnsi="宋体" w:eastAsia="宋体" w:cs="宋体"/>
                <w:b/>
                <w:bCs/>
                <w:i w:val="0"/>
                <w:iCs w:val="0"/>
                <w:color w:val="000000"/>
                <w:sz w:val="22"/>
                <w:szCs w:val="22"/>
                <w:u w:val="none"/>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周五时间</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jc w:val="center"/>
        </w:trPr>
        <w:tc>
          <w:tcPr>
            <w:tcW w:w="951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备注：                                                                              </w:t>
            </w:r>
            <w:r>
              <w:rPr>
                <w:rStyle w:val="20"/>
                <w:lang w:val="en-US" w:eastAsia="zh-CN" w:bidi="ar"/>
              </w:rPr>
              <w:t>1.周一～周四课后服务：第一时间段（第八节）具体安排见附件，其中：周一（二年级）；周二（四、五年级）；周三（一至五年级）；周四（三年级）安排体育活动。第二第三时间段具体安排见附件。                                                                           2.周五课后服务：第一时间段15:00-16:30，第二第三时间段16:30-18:00，具体安排见附件。                                                                                  3.一、二、五年级教室南校区，三、四年级教室北校区。</w:t>
            </w:r>
          </w:p>
        </w:tc>
      </w:tr>
    </w:tbl>
    <w:p>
      <w:pPr>
        <w:pageBreakBefore w:val="0"/>
        <w:widowControl/>
        <w:kinsoku/>
        <w:overflowPunct/>
        <w:topLinePunct w:val="0"/>
        <w:autoSpaceDE/>
        <w:autoSpaceDN/>
        <w:bidi w:val="0"/>
        <w:spacing w:line="500" w:lineRule="exact"/>
        <w:jc w:val="center"/>
        <w:rPr>
          <w:rFonts w:ascii="宋体" w:hAnsi="宋体" w:cs="宋体"/>
          <w:b/>
          <w:bCs/>
          <w:kern w:val="0"/>
          <w:sz w:val="24"/>
        </w:rPr>
      </w:pPr>
    </w:p>
    <w:p>
      <w:pPr>
        <w:pageBreakBefore w:val="0"/>
        <w:widowControl/>
        <w:kinsoku/>
        <w:overflowPunct/>
        <w:topLinePunct w:val="0"/>
        <w:autoSpaceDE/>
        <w:autoSpaceDN/>
        <w:bidi w:val="0"/>
        <w:spacing w:line="500" w:lineRule="exact"/>
        <w:ind w:firstLine="120" w:firstLineChars="50"/>
        <w:jc w:val="left"/>
        <w:rPr>
          <w:rFonts w:ascii="宋体" w:hAnsi="宋体" w:cs="宋体"/>
          <w:kern w:val="0"/>
          <w:sz w:val="24"/>
          <w:highlight w:val="none"/>
        </w:rPr>
      </w:pPr>
      <w:r>
        <w:rPr>
          <w:rFonts w:hint="eastAsia"/>
          <w:b/>
          <w:bCs/>
          <w:sz w:val="24"/>
          <w:highlight w:val="none"/>
        </w:rPr>
        <w:t>课时安排说明：</w:t>
      </w:r>
    </w:p>
    <w:p>
      <w:pPr>
        <w:pageBreakBefore w:val="0"/>
        <w:kinsoku/>
        <w:overflowPunct/>
        <w:topLinePunct w:val="0"/>
        <w:autoSpaceDE/>
        <w:autoSpaceDN/>
        <w:bidi w:val="0"/>
        <w:spacing w:line="500" w:lineRule="exact"/>
        <w:rPr>
          <w:sz w:val="24"/>
        </w:rPr>
      </w:pPr>
      <w:r>
        <w:rPr>
          <w:rFonts w:hint="eastAsia"/>
          <w:sz w:val="24"/>
        </w:rPr>
        <w:t>1、各年级全学年教学活动总时间为40周。其中，社区服务和社会实践活动时间为 2 周，授课时间按 34 周计，复习检测、节假日及重大活动时间为4周。</w:t>
      </w:r>
    </w:p>
    <w:p>
      <w:pPr>
        <w:pageBreakBefore w:val="0"/>
        <w:kinsoku/>
        <w:overflowPunct/>
        <w:topLinePunct w:val="0"/>
        <w:autoSpaceDE/>
        <w:autoSpaceDN/>
        <w:bidi w:val="0"/>
        <w:spacing w:line="500" w:lineRule="exact"/>
        <w:rPr>
          <w:sz w:val="24"/>
        </w:rPr>
      </w:pPr>
      <w:r>
        <w:rPr>
          <w:rFonts w:hint="eastAsia"/>
          <w:sz w:val="24"/>
        </w:rPr>
        <w:t>2、一、二年级每周课时总量为</w:t>
      </w:r>
      <w:r>
        <w:rPr>
          <w:sz w:val="24"/>
        </w:rPr>
        <w:t>33</w:t>
      </w:r>
      <w:r>
        <w:rPr>
          <w:rFonts w:hint="eastAsia"/>
          <w:sz w:val="24"/>
        </w:rPr>
        <w:t>节，三年级至五年级每周课时总量为 34 节。每节课的时间按 35 分钟计。</w:t>
      </w:r>
    </w:p>
    <w:p>
      <w:pPr>
        <w:pageBreakBefore w:val="0"/>
        <w:kinsoku/>
        <w:overflowPunct/>
        <w:topLinePunct w:val="0"/>
        <w:autoSpaceDE/>
        <w:autoSpaceDN/>
        <w:bidi w:val="0"/>
        <w:spacing w:line="500" w:lineRule="exact"/>
        <w:rPr>
          <w:sz w:val="24"/>
        </w:rPr>
      </w:pPr>
      <w:r>
        <w:rPr>
          <w:rFonts w:hint="eastAsia"/>
          <w:sz w:val="24"/>
        </w:rPr>
        <w:t>3、各年级每天安排 15分钟的午会专题教育，具体安排如下：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379"/>
        <w:gridCol w:w="146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0"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星期</w:t>
            </w:r>
          </w:p>
        </w:tc>
        <w:tc>
          <w:tcPr>
            <w:tcW w:w="1420"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一</w:t>
            </w:r>
          </w:p>
        </w:tc>
        <w:tc>
          <w:tcPr>
            <w:tcW w:w="1379"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二</w:t>
            </w:r>
          </w:p>
        </w:tc>
        <w:tc>
          <w:tcPr>
            <w:tcW w:w="1461"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三</w:t>
            </w:r>
          </w:p>
        </w:tc>
        <w:tc>
          <w:tcPr>
            <w:tcW w:w="1421"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四</w:t>
            </w:r>
          </w:p>
        </w:tc>
        <w:tc>
          <w:tcPr>
            <w:tcW w:w="1421"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教育内容</w:t>
            </w:r>
          </w:p>
        </w:tc>
        <w:tc>
          <w:tcPr>
            <w:tcW w:w="1420"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安全教育/</w:t>
            </w:r>
          </w:p>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行规教育</w:t>
            </w:r>
          </w:p>
        </w:tc>
        <w:tc>
          <w:tcPr>
            <w:tcW w:w="1379"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健康教育/</w:t>
            </w:r>
          </w:p>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环境教育/</w:t>
            </w:r>
          </w:p>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民防教育</w:t>
            </w:r>
          </w:p>
        </w:tc>
        <w:tc>
          <w:tcPr>
            <w:tcW w:w="1461"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szCs w:val="21"/>
              </w:rPr>
              <w:t>阅读活动</w:t>
            </w:r>
          </w:p>
        </w:tc>
        <w:tc>
          <w:tcPr>
            <w:tcW w:w="1421"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cs="宋体"/>
                <w:kern w:val="0"/>
                <w:sz w:val="24"/>
              </w:rPr>
              <w:t>健康教育（心理）等</w:t>
            </w:r>
            <w:r>
              <w:rPr>
                <w:rFonts w:hint="eastAsia" w:ascii="宋体" w:hAnsi="宋体"/>
                <w:szCs w:val="21"/>
              </w:rPr>
              <w:t>专题教育</w:t>
            </w:r>
          </w:p>
        </w:tc>
        <w:tc>
          <w:tcPr>
            <w:tcW w:w="1421" w:type="dxa"/>
            <w:shd w:val="clear" w:color="auto" w:fill="auto"/>
            <w:vAlign w:val="center"/>
          </w:tcPr>
          <w:p>
            <w:pPr>
              <w:pageBreakBefore w:val="0"/>
              <w:kinsoku/>
              <w:overflowPunct/>
              <w:topLinePunct w:val="0"/>
              <w:autoSpaceDE/>
              <w:autoSpaceDN/>
              <w:bidi w:val="0"/>
              <w:spacing w:line="500" w:lineRule="exact"/>
              <w:jc w:val="center"/>
              <w:rPr>
                <w:rFonts w:ascii="宋体" w:hAnsi="宋体"/>
                <w:szCs w:val="21"/>
              </w:rPr>
            </w:pPr>
            <w:r>
              <w:rPr>
                <w:rFonts w:hint="eastAsia" w:ascii="宋体" w:hAnsi="宋体" w:cs="宋体"/>
                <w:kern w:val="0"/>
                <w:szCs w:val="21"/>
              </w:rPr>
              <w:t>红领巾广播</w:t>
            </w:r>
          </w:p>
        </w:tc>
      </w:tr>
    </w:tbl>
    <w:p>
      <w:pPr>
        <w:pageBreakBefore w:val="0"/>
        <w:kinsoku/>
        <w:overflowPunct/>
        <w:topLinePunct w:val="0"/>
        <w:autoSpaceDE/>
        <w:autoSpaceDN/>
        <w:bidi w:val="0"/>
        <w:spacing w:line="500" w:lineRule="exact"/>
        <w:rPr>
          <w:sz w:val="24"/>
        </w:rPr>
      </w:pPr>
      <w:r>
        <w:rPr>
          <w:rFonts w:hint="eastAsia"/>
          <w:sz w:val="24"/>
        </w:rPr>
        <w:t>4、各年级每天安排时间约为</w:t>
      </w:r>
      <w:r>
        <w:rPr>
          <w:rFonts w:hint="eastAsia"/>
          <w:sz w:val="24"/>
          <w:lang w:val="en-US" w:eastAsia="zh-CN"/>
        </w:rPr>
        <w:t>40</w:t>
      </w:r>
      <w:r>
        <w:rPr>
          <w:rFonts w:hint="eastAsia"/>
          <w:sz w:val="24"/>
        </w:rPr>
        <w:t>分钟的广播操、眼保健操等体育保健活动；每周安排两次时间为35分钟的体育活动，活动时间安排在拓展型课程中，本学年一至五年级体育课</w:t>
      </w:r>
      <w:r>
        <w:rPr>
          <w:rFonts w:hint="eastAsia"/>
          <w:sz w:val="24"/>
          <w:lang w:val="en-US" w:eastAsia="zh-CN"/>
        </w:rPr>
        <w:t>设置为</w:t>
      </w:r>
      <w:r>
        <w:rPr>
          <w:sz w:val="24"/>
        </w:rPr>
        <w:t>5</w:t>
      </w:r>
      <w:r>
        <w:rPr>
          <w:rFonts w:hint="eastAsia"/>
          <w:sz w:val="24"/>
        </w:rPr>
        <w:t>课时，加大了体育运动的时间。</w:t>
      </w:r>
    </w:p>
    <w:p>
      <w:pPr>
        <w:pageBreakBefore w:val="0"/>
        <w:kinsoku/>
        <w:overflowPunct/>
        <w:topLinePunct w:val="0"/>
        <w:autoSpaceDE/>
        <w:autoSpaceDN/>
        <w:bidi w:val="0"/>
        <w:spacing w:line="500" w:lineRule="exact"/>
        <w:rPr>
          <w:sz w:val="24"/>
        </w:rPr>
      </w:pPr>
      <w:r>
        <w:rPr>
          <w:rFonts w:hint="eastAsia"/>
          <w:sz w:val="24"/>
        </w:rPr>
        <w:t>5、小学劳动技术、信息科技、专题教育、社区服务和社会实践的课时有分散安排，也有集中安排。小学探究型课程建议以主题探究活动的形式进行。</w:t>
      </w:r>
    </w:p>
    <w:p>
      <w:pPr>
        <w:pageBreakBefore w:val="0"/>
        <w:kinsoku/>
        <w:overflowPunct/>
        <w:topLinePunct w:val="0"/>
        <w:autoSpaceDE/>
        <w:autoSpaceDN/>
        <w:bidi w:val="0"/>
        <w:spacing w:line="500" w:lineRule="exact"/>
        <w:rPr>
          <w:sz w:val="24"/>
        </w:rPr>
      </w:pPr>
      <w:r>
        <w:rPr>
          <w:rFonts w:hint="eastAsia"/>
          <w:sz w:val="24"/>
        </w:rPr>
        <w:t>6、每周三下午集中安排实施“快乐活动日”。“快乐活动日”的课时安排计入拓展型和探究型课程课时，每次按 4 课时计，每学年安排 30 次，每学年课时总量为120课时。（去除节假日）</w:t>
      </w:r>
    </w:p>
    <w:p>
      <w:pPr>
        <w:pageBreakBefore w:val="0"/>
        <w:kinsoku/>
        <w:overflowPunct/>
        <w:topLinePunct w:val="0"/>
        <w:autoSpaceDE/>
        <w:autoSpaceDN/>
        <w:bidi w:val="0"/>
        <w:spacing w:line="500" w:lineRule="exact"/>
        <w:rPr>
          <w:sz w:val="24"/>
        </w:rPr>
      </w:pPr>
      <w:r>
        <w:rPr>
          <w:rFonts w:hint="eastAsia"/>
          <w:sz w:val="24"/>
        </w:rPr>
        <w:t>7、一年级入学初4周不安排“快乐活动日”，利用拓展型课程和探究型课程的课时，指导学生进行社会实践活动、研学活动等，落实 16－20课时的学习准备期综合活动。</w:t>
      </w:r>
    </w:p>
    <w:p>
      <w:pPr>
        <w:pageBreakBefore w:val="0"/>
        <w:kinsoku/>
        <w:overflowPunct/>
        <w:topLinePunct w:val="0"/>
        <w:autoSpaceDE/>
        <w:autoSpaceDN/>
        <w:bidi w:val="0"/>
        <w:spacing w:line="500" w:lineRule="exact"/>
        <w:rPr>
          <w:sz w:val="24"/>
        </w:rPr>
      </w:pPr>
      <w:r>
        <w:rPr>
          <w:rFonts w:hint="eastAsia"/>
          <w:sz w:val="24"/>
        </w:rPr>
        <w:t>8、各年级每周安排0.5课时用于学生阅读活动，安排在每周三的午会时间进行。</w:t>
      </w:r>
    </w:p>
    <w:p>
      <w:pPr>
        <w:pageBreakBefore w:val="0"/>
        <w:kinsoku/>
        <w:overflowPunct/>
        <w:topLinePunct w:val="0"/>
        <w:autoSpaceDE/>
        <w:autoSpaceDN/>
        <w:bidi w:val="0"/>
        <w:spacing w:line="500" w:lineRule="exact"/>
        <w:rPr>
          <w:sz w:val="24"/>
        </w:rPr>
      </w:pPr>
      <w:r>
        <w:rPr>
          <w:sz w:val="24"/>
        </w:rPr>
        <w:t>9</w:t>
      </w:r>
      <w:r>
        <w:rPr>
          <w:rFonts w:hint="eastAsia"/>
          <w:sz w:val="24"/>
        </w:rPr>
        <w:t>、各校要从本校实际出发做好统筹安排，保证每周各有一次科技活动和艺术活动，可作为“快乐活动日”的内容安排在课内，也可安排在课外。</w:t>
      </w:r>
    </w:p>
    <w:p>
      <w:pPr>
        <w:pageBreakBefore w:val="0"/>
        <w:widowControl/>
        <w:kinsoku/>
        <w:overflowPunct/>
        <w:topLinePunct w:val="0"/>
        <w:autoSpaceDE/>
        <w:autoSpaceDN/>
        <w:bidi w:val="0"/>
        <w:spacing w:line="500" w:lineRule="exact"/>
        <w:jc w:val="left"/>
        <w:rPr>
          <w:rFonts w:ascii="宋体" w:hAnsi="宋体" w:cs="宋体"/>
          <w:kern w:val="0"/>
          <w:sz w:val="24"/>
        </w:rPr>
      </w:pPr>
      <w:r>
        <w:rPr>
          <w:rFonts w:hint="eastAsia"/>
          <w:sz w:val="24"/>
        </w:rPr>
        <w:t>10、</w:t>
      </w:r>
      <w:r>
        <w:rPr>
          <w:rFonts w:hint="eastAsia" w:ascii="宋体" w:hAnsi="宋体" w:cs="宋体"/>
          <w:kern w:val="0"/>
          <w:sz w:val="24"/>
        </w:rPr>
        <w:t>教师周课时数设置如下：根据沪教委基2</w:t>
      </w:r>
      <w:r>
        <w:rPr>
          <w:rFonts w:ascii="宋体" w:hAnsi="宋体" w:cs="宋体"/>
          <w:kern w:val="0"/>
          <w:sz w:val="24"/>
        </w:rPr>
        <w:t>015</w:t>
      </w:r>
      <w:r>
        <w:rPr>
          <w:rFonts w:hint="eastAsia" w:ascii="宋体" w:hAnsi="宋体" w:cs="宋体"/>
          <w:kern w:val="0"/>
          <w:sz w:val="24"/>
        </w:rPr>
        <w:t>（5</w:t>
      </w:r>
      <w:r>
        <w:rPr>
          <w:rFonts w:ascii="宋体" w:hAnsi="宋体" w:cs="宋体"/>
          <w:kern w:val="0"/>
          <w:sz w:val="24"/>
        </w:rPr>
        <w:t>5</w:t>
      </w:r>
      <w:r>
        <w:rPr>
          <w:rFonts w:hint="eastAsia" w:ascii="宋体" w:hAnsi="宋体" w:cs="宋体"/>
          <w:kern w:val="0"/>
          <w:sz w:val="24"/>
        </w:rPr>
        <w:t>）号文件精神及本学期学校总课时数，202</w:t>
      </w:r>
      <w:r>
        <w:rPr>
          <w:rFonts w:hint="eastAsia" w:ascii="宋体" w:hAnsi="宋体" w:cs="宋体"/>
          <w:kern w:val="0"/>
          <w:sz w:val="24"/>
          <w:lang w:val="en-US" w:eastAsia="zh-CN"/>
        </w:rPr>
        <w:t>2</w:t>
      </w:r>
      <w:r>
        <w:rPr>
          <w:rFonts w:hint="eastAsia" w:ascii="宋体" w:hAnsi="宋体" w:cs="宋体"/>
          <w:kern w:val="0"/>
          <w:sz w:val="24"/>
        </w:rPr>
        <w:t>学年教师周课时数确定如下：</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kern w:val="0"/>
          <w:sz w:val="24"/>
        </w:rPr>
      </w:pPr>
      <w:r>
        <w:rPr>
          <w:rFonts w:hint="eastAsia" w:ascii="宋体" w:hAnsi="宋体" w:cs="宋体"/>
          <w:kern w:val="0"/>
          <w:sz w:val="24"/>
        </w:rPr>
        <w:t>一二年级   语数英学科  15节；</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kern w:val="0"/>
          <w:sz w:val="24"/>
        </w:rPr>
      </w:pPr>
      <w:r>
        <w:rPr>
          <w:rFonts w:hint="eastAsia" w:ascii="宋体" w:hAnsi="宋体" w:cs="宋体"/>
          <w:kern w:val="0"/>
          <w:sz w:val="24"/>
        </w:rPr>
        <w:t xml:space="preserve">三四五年级 </w:t>
      </w:r>
      <w:r>
        <w:rPr>
          <w:rFonts w:hint="eastAsia" w:ascii="宋体" w:hAnsi="宋体" w:cs="宋体"/>
          <w:kern w:val="0"/>
          <w:sz w:val="24"/>
          <w:lang w:val="en-US" w:eastAsia="zh-CN"/>
        </w:rPr>
        <w:t xml:space="preserve"> </w:t>
      </w:r>
      <w:r>
        <w:rPr>
          <w:rFonts w:hint="eastAsia" w:ascii="宋体" w:hAnsi="宋体" w:cs="宋体"/>
          <w:kern w:val="0"/>
          <w:sz w:val="24"/>
        </w:rPr>
        <w:t>语数英学科  13节；</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kern w:val="0"/>
          <w:sz w:val="24"/>
        </w:rPr>
      </w:pPr>
      <w:r>
        <w:rPr>
          <w:rFonts w:hint="eastAsia" w:ascii="宋体" w:hAnsi="宋体" w:cs="宋体"/>
          <w:kern w:val="0"/>
          <w:sz w:val="24"/>
        </w:rPr>
        <w:t>音体美学科  18节；</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kern w:val="0"/>
          <w:sz w:val="24"/>
        </w:rPr>
      </w:pPr>
      <w:r>
        <w:rPr>
          <w:rFonts w:hint="eastAsia" w:ascii="宋体" w:hAnsi="宋体" w:cs="宋体"/>
          <w:kern w:val="0"/>
          <w:sz w:val="24"/>
        </w:rPr>
        <w:t>其他学科    16节。</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highlight w:val="none"/>
          <w:lang w:val="en-US" w:eastAsia="zh-CN"/>
        </w:rPr>
      </w:pPr>
      <w:bookmarkStart w:id="22" w:name="_Toc49541679"/>
      <w:r>
        <w:rPr>
          <w:rFonts w:hint="eastAsia"/>
          <w:b/>
          <w:bCs/>
          <w:sz w:val="24"/>
          <w:szCs w:val="24"/>
          <w:highlight w:val="none"/>
          <w:lang w:val="en-US" w:eastAsia="zh-CN"/>
        </w:rPr>
        <w:t>四、专题教育</w:t>
      </w:r>
      <w:bookmarkEnd w:id="22"/>
      <w:bookmarkStart w:id="74" w:name="_GoBack"/>
      <w:bookmarkEnd w:id="74"/>
    </w:p>
    <w:p>
      <w:pPr>
        <w:pageBreakBefore w:val="0"/>
        <w:kinsoku/>
        <w:overflowPunct/>
        <w:topLinePunct w:val="0"/>
        <w:autoSpaceDE/>
        <w:autoSpaceDN/>
        <w:bidi w:val="0"/>
        <w:spacing w:line="500" w:lineRule="exact"/>
        <w:ind w:firstLine="480" w:firstLineChars="200"/>
        <w:rPr>
          <w:sz w:val="24"/>
        </w:rPr>
      </w:pPr>
      <w:r>
        <w:rPr>
          <w:rFonts w:hint="eastAsia"/>
          <w:sz w:val="24"/>
        </w:rPr>
        <w:t>根据学生年龄特点以及《上海市教育委员会关于印发&lt;上海市中小学专题教育整合实施指导意见（试行）&gt;的通知》(沪教委基〔2014〕54 号)要求，开展各类专题教育，确保相应的课时，部分专题教育的内容也可安排在晨会或午会时间进行。</w:t>
      </w:r>
    </w:p>
    <w:p>
      <w:pPr>
        <w:pageBreakBefore w:val="0"/>
        <w:kinsoku/>
        <w:overflowPunct/>
        <w:topLinePunct w:val="0"/>
        <w:autoSpaceDE/>
        <w:autoSpaceDN/>
        <w:bidi w:val="0"/>
        <w:spacing w:line="500" w:lineRule="exact"/>
        <w:ind w:firstLine="480" w:firstLineChars="200"/>
        <w:rPr>
          <w:rFonts w:hint="eastAsia"/>
          <w:sz w:val="24"/>
        </w:rPr>
      </w:pPr>
      <w:r>
        <w:rPr>
          <w:rFonts w:hint="eastAsia"/>
          <w:sz w:val="24"/>
          <w:lang w:val="en-US" w:eastAsia="zh-CN"/>
        </w:rPr>
        <w:t>一</w:t>
      </w:r>
      <w:r>
        <w:rPr>
          <w:rFonts w:hint="eastAsia"/>
          <w:sz w:val="24"/>
        </w:rPr>
        <w:t>年级每班每两周有 1 节生命教育心理健康活动课，由专兼职心理健康教育教师执教。班主任每学期至少有 1 节以生命教育心理健康为主题的班团队会，有计划、有活动、有记录。</w:t>
      </w:r>
      <w:bookmarkStart w:id="23" w:name="_Hlk16013867"/>
      <w:r>
        <w:rPr>
          <w:rFonts w:hint="eastAsia"/>
          <w:sz w:val="24"/>
        </w:rPr>
        <w:t>专题教育安排如下：</w:t>
      </w:r>
    </w:p>
    <w:tbl>
      <w:tblPr>
        <w:tblStyle w:val="11"/>
        <w:tblW w:w="94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08"/>
        <w:gridCol w:w="1559"/>
        <w:gridCol w:w="1559"/>
        <w:gridCol w:w="1701"/>
        <w:gridCol w:w="1701"/>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408" w:type="dxa"/>
            <w:tcBorders>
              <w:tl2br w:val="nil"/>
              <w:tr2bl w:val="nil"/>
            </w:tcBorders>
            <w:shd w:val="clear" w:color="auto" w:fill="auto"/>
            <w:tcMar>
              <w:left w:w="108" w:type="dxa"/>
              <w:right w:w="108" w:type="dxa"/>
            </w:tcMar>
            <w:vAlign w:val="center"/>
          </w:tcPr>
          <w:p>
            <w:pPr>
              <w:bidi w:val="0"/>
              <w:rPr>
                <w:b/>
                <w:bCs/>
                <w:sz w:val="24"/>
                <w:szCs w:val="24"/>
              </w:rPr>
            </w:pPr>
            <w:r>
              <w:rPr>
                <w:b/>
                <w:bCs/>
                <w:sz w:val="24"/>
                <w:szCs w:val="24"/>
              </w:rPr>
              <w:t>年级</w:t>
            </w:r>
            <w:r>
              <w:rPr>
                <w:rFonts w:hint="eastAsia"/>
                <w:b/>
                <w:bCs/>
                <w:sz w:val="24"/>
                <w:szCs w:val="24"/>
              </w:rPr>
              <w:t>、</w:t>
            </w:r>
            <w:r>
              <w:rPr>
                <w:b/>
                <w:bCs/>
                <w:sz w:val="24"/>
                <w:szCs w:val="24"/>
              </w:rPr>
              <w:t>主题</w:t>
            </w:r>
          </w:p>
        </w:tc>
        <w:tc>
          <w:tcPr>
            <w:tcW w:w="1559" w:type="dxa"/>
            <w:tcBorders>
              <w:tl2br w:val="nil"/>
              <w:tr2bl w:val="nil"/>
            </w:tcBorders>
            <w:shd w:val="clear" w:color="auto" w:fill="auto"/>
            <w:tcMar>
              <w:left w:w="108" w:type="dxa"/>
              <w:right w:w="108" w:type="dxa"/>
            </w:tcMar>
            <w:vAlign w:val="center"/>
          </w:tcPr>
          <w:p>
            <w:pPr>
              <w:bidi w:val="0"/>
              <w:rPr>
                <w:b/>
                <w:bCs/>
                <w:sz w:val="24"/>
                <w:szCs w:val="24"/>
              </w:rPr>
            </w:pPr>
            <w:r>
              <w:rPr>
                <w:rFonts w:hint="eastAsia"/>
                <w:b/>
                <w:bCs/>
                <w:sz w:val="24"/>
                <w:szCs w:val="24"/>
              </w:rPr>
              <w:t>安全与防范</w:t>
            </w:r>
          </w:p>
        </w:tc>
        <w:tc>
          <w:tcPr>
            <w:tcW w:w="1559" w:type="dxa"/>
            <w:tcBorders>
              <w:tl2br w:val="nil"/>
              <w:tr2bl w:val="nil"/>
            </w:tcBorders>
            <w:shd w:val="clear" w:color="auto" w:fill="auto"/>
            <w:tcMar>
              <w:left w:w="108" w:type="dxa"/>
              <w:right w:w="108" w:type="dxa"/>
            </w:tcMar>
            <w:vAlign w:val="center"/>
          </w:tcPr>
          <w:p>
            <w:pPr>
              <w:bidi w:val="0"/>
              <w:rPr>
                <w:b/>
                <w:bCs/>
                <w:sz w:val="24"/>
                <w:szCs w:val="24"/>
              </w:rPr>
            </w:pPr>
            <w:r>
              <w:rPr>
                <w:rFonts w:hint="eastAsia"/>
                <w:b/>
                <w:bCs/>
                <w:sz w:val="24"/>
                <w:szCs w:val="24"/>
              </w:rPr>
              <w:t>法律与道德</w:t>
            </w:r>
          </w:p>
        </w:tc>
        <w:tc>
          <w:tcPr>
            <w:tcW w:w="1701" w:type="dxa"/>
            <w:tcBorders>
              <w:tl2br w:val="nil"/>
              <w:tr2bl w:val="nil"/>
            </w:tcBorders>
            <w:shd w:val="clear" w:color="auto" w:fill="auto"/>
            <w:tcMar>
              <w:left w:w="108" w:type="dxa"/>
              <w:right w:w="108" w:type="dxa"/>
            </w:tcMar>
            <w:vAlign w:val="center"/>
          </w:tcPr>
          <w:p>
            <w:pPr>
              <w:bidi w:val="0"/>
              <w:rPr>
                <w:b/>
                <w:bCs/>
                <w:sz w:val="24"/>
                <w:szCs w:val="24"/>
              </w:rPr>
            </w:pPr>
            <w:r>
              <w:rPr>
                <w:rFonts w:hint="eastAsia"/>
                <w:b/>
                <w:bCs/>
                <w:sz w:val="24"/>
                <w:szCs w:val="24"/>
              </w:rPr>
              <w:t>民族与文化</w:t>
            </w:r>
          </w:p>
        </w:tc>
        <w:tc>
          <w:tcPr>
            <w:tcW w:w="1701" w:type="dxa"/>
            <w:tcBorders>
              <w:tl2br w:val="nil"/>
              <w:tr2bl w:val="nil"/>
            </w:tcBorders>
            <w:shd w:val="clear" w:color="auto" w:fill="auto"/>
            <w:tcMar>
              <w:left w:w="108" w:type="dxa"/>
              <w:right w:w="108" w:type="dxa"/>
            </w:tcMar>
            <w:vAlign w:val="center"/>
          </w:tcPr>
          <w:p>
            <w:pPr>
              <w:bidi w:val="0"/>
              <w:rPr>
                <w:b/>
                <w:bCs/>
                <w:sz w:val="24"/>
                <w:szCs w:val="24"/>
              </w:rPr>
            </w:pPr>
            <w:r>
              <w:rPr>
                <w:rFonts w:hint="eastAsia"/>
                <w:b/>
                <w:bCs/>
                <w:sz w:val="24"/>
                <w:szCs w:val="24"/>
              </w:rPr>
              <w:t>环境与健康</w:t>
            </w:r>
          </w:p>
        </w:tc>
        <w:tc>
          <w:tcPr>
            <w:tcW w:w="1560" w:type="dxa"/>
            <w:tcBorders>
              <w:tl2br w:val="nil"/>
              <w:tr2bl w:val="nil"/>
            </w:tcBorders>
            <w:shd w:val="clear" w:color="auto" w:fill="auto"/>
            <w:tcMar>
              <w:left w:w="108" w:type="dxa"/>
              <w:right w:w="108" w:type="dxa"/>
            </w:tcMar>
            <w:vAlign w:val="center"/>
          </w:tcPr>
          <w:p>
            <w:pPr>
              <w:bidi w:val="0"/>
              <w:rPr>
                <w:b/>
                <w:bCs/>
                <w:sz w:val="24"/>
                <w:szCs w:val="24"/>
              </w:rPr>
            </w:pPr>
            <w:r>
              <w:rPr>
                <w:rFonts w:hint="eastAsia"/>
                <w:b/>
                <w:bCs/>
                <w:sz w:val="24"/>
                <w:szCs w:val="24"/>
              </w:rPr>
              <w:t>综合与实践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90" w:hRule="atLeast"/>
          <w:jc w:val="center"/>
        </w:trPr>
        <w:tc>
          <w:tcPr>
            <w:tcW w:w="1408"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szCs w:val="24"/>
              </w:rPr>
            </w:pPr>
            <w:r>
              <w:rPr>
                <w:rFonts w:hint="eastAsia"/>
                <w:sz w:val="24"/>
                <w:szCs w:val="24"/>
              </w:rPr>
              <w:t>一年级</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szCs w:val="24"/>
              </w:rPr>
            </w:pPr>
            <w:r>
              <w:rPr>
                <w:rFonts w:hint="eastAsia"/>
                <w:sz w:val="24"/>
                <w:szCs w:val="24"/>
              </w:rPr>
              <w:t>校园安全交通安全消防安全教育</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szCs w:val="24"/>
              </w:rPr>
            </w:pPr>
            <w:r>
              <w:rPr>
                <w:rFonts w:hint="eastAsia"/>
                <w:sz w:val="24"/>
                <w:szCs w:val="24"/>
              </w:rPr>
              <w:t>文明礼仪教育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szCs w:val="24"/>
              </w:rPr>
            </w:pPr>
            <w:r>
              <w:rPr>
                <w:rFonts w:hint="eastAsia"/>
                <w:sz w:val="24"/>
                <w:szCs w:val="24"/>
              </w:rPr>
              <w:t>中华优秀传统文化教育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szCs w:val="24"/>
              </w:rPr>
            </w:pPr>
            <w:r>
              <w:rPr>
                <w:rFonts w:hint="eastAsia"/>
                <w:sz w:val="24"/>
                <w:szCs w:val="24"/>
              </w:rPr>
              <w:t>健康教育</w:t>
            </w:r>
          </w:p>
        </w:tc>
        <w:tc>
          <w:tcPr>
            <w:tcW w:w="1560"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4"/>
                <w:szCs w:val="24"/>
              </w:rPr>
            </w:pPr>
            <w:r>
              <w:rPr>
                <w:rFonts w:hint="eastAsia"/>
                <w:sz w:val="24"/>
                <w:szCs w:val="24"/>
              </w:rPr>
              <w:t>节粮节水教育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1" w:hRule="atLeast"/>
          <w:jc w:val="center"/>
        </w:trPr>
        <w:tc>
          <w:tcPr>
            <w:tcW w:w="1408"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二年级</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交通安全消防安全治安防范教育</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诚信教育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中华优秀传统文化教育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健康教育</w:t>
            </w:r>
          </w:p>
        </w:tc>
        <w:tc>
          <w:tcPr>
            <w:tcW w:w="1560"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节粮节水教育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408"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三年级</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防灾自护教育/防溺水教育</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反邪教教育/廉洁教育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民族团结教育/中华优秀传统文化教育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健康教育（含心理健康教育）</w:t>
            </w:r>
          </w:p>
        </w:tc>
        <w:tc>
          <w:tcPr>
            <w:tcW w:w="1560"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科普教育/水土保持教育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1408"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四年级</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交通安全治安防范/国防民防教育</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网络道德教育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民族团结教育/中华优秀传统文化教育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环境教育/健康教育（含心理健康教育）</w:t>
            </w:r>
          </w:p>
        </w:tc>
        <w:tc>
          <w:tcPr>
            <w:tcW w:w="1560"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质量教育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25" w:hRule="atLeast"/>
          <w:jc w:val="center"/>
        </w:trPr>
        <w:tc>
          <w:tcPr>
            <w:tcW w:w="1408"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五年级</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消防安全食品卫生教育</w:t>
            </w:r>
          </w:p>
        </w:tc>
        <w:tc>
          <w:tcPr>
            <w:tcW w:w="1559"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法制教育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民族团结教育/中华优秀传统文化教育</w:t>
            </w:r>
          </w:p>
        </w:tc>
        <w:tc>
          <w:tcPr>
            <w:tcW w:w="1701"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生命教育/健康教育/环境教育</w:t>
            </w:r>
          </w:p>
        </w:tc>
        <w:tc>
          <w:tcPr>
            <w:tcW w:w="1560" w:type="dxa"/>
            <w:tcBorders>
              <w:tl2br w:val="nil"/>
              <w:tr2bl w:val="nil"/>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4"/>
                <w:szCs w:val="24"/>
              </w:rPr>
            </w:pPr>
            <w:r>
              <w:rPr>
                <w:rFonts w:hint="eastAsia"/>
                <w:sz w:val="24"/>
                <w:szCs w:val="24"/>
              </w:rPr>
              <w:t>档案教育</w:t>
            </w:r>
          </w:p>
        </w:tc>
      </w:tr>
      <w:bookmarkEnd w:id="23"/>
    </w:tbl>
    <w:p>
      <w:pPr>
        <w:pageBreakBefore w:val="0"/>
        <w:widowControl/>
        <w:kinsoku/>
        <w:overflowPunct/>
        <w:topLinePunct w:val="0"/>
        <w:autoSpaceDE/>
        <w:autoSpaceDN/>
        <w:bidi w:val="0"/>
        <w:spacing w:line="500" w:lineRule="exact"/>
        <w:jc w:val="center"/>
        <w:rPr>
          <w:rFonts w:hint="eastAsia" w:ascii="宋体" w:hAnsi="宋体" w:cs="宋体"/>
          <w:b/>
          <w:bCs/>
          <w:kern w:val="0"/>
          <w:sz w:val="24"/>
          <w:lang w:val="en-US" w:eastAsia="zh-CN"/>
        </w:rPr>
      </w:pPr>
      <w:bookmarkStart w:id="24" w:name="_Toc14713416"/>
      <w:bookmarkStart w:id="25" w:name="_Toc49541680"/>
      <w:r>
        <w:rPr>
          <w:rFonts w:hint="eastAsia" w:ascii="宋体" w:hAnsi="宋体" w:cs="宋体"/>
          <w:b/>
          <w:bCs/>
          <w:kern w:val="0"/>
          <w:sz w:val="24"/>
          <w:lang w:val="en-US" w:eastAsia="zh-CN"/>
        </w:rPr>
        <w:t>第四部分：学校课程实施</w:t>
      </w:r>
      <w:bookmarkEnd w:id="24"/>
      <w:bookmarkEnd w:id="25"/>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课程内容是实现课程目标的有效载体，对课程内容的组织和构建，不单需要技术层面的支持，同时也是课程价值观的直接反映。校本特色课程最能够体现学校的办学特色，突显学校的教育理念。在“小神农课程”体系的建构过程中，学校坚持“关注农村，关注儿童，关注生活，关注科学”，强调培养儿童的主体性、整体性与生活性的学习能力，要求课程与教学向学生的生活世界回归，将课程内容与学生的经历、经验紧密结合起来，从而发挥儿童的主动性和创造性。</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26" w:name="_Toc14713417"/>
      <w:bookmarkStart w:id="27" w:name="_Toc49541681"/>
      <w:r>
        <w:rPr>
          <w:rFonts w:hint="eastAsia"/>
          <w:b/>
          <w:bCs/>
          <w:sz w:val="24"/>
          <w:szCs w:val="24"/>
          <w:lang w:val="en-US" w:eastAsia="zh-CN"/>
        </w:rPr>
        <w:t>一、实施原则</w:t>
      </w:r>
      <w:bookmarkEnd w:id="26"/>
      <w:bookmarkEnd w:id="27"/>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28" w:name="_Toc49541682"/>
      <w:bookmarkStart w:id="29" w:name="_Toc14713418"/>
      <w:r>
        <w:rPr>
          <w:rFonts w:hint="eastAsia"/>
          <w:b/>
          <w:bCs/>
          <w:sz w:val="24"/>
          <w:szCs w:val="24"/>
          <w:lang w:val="en-US" w:eastAsia="zh-CN"/>
        </w:rPr>
        <w:t>1、开放服务</w:t>
      </w:r>
      <w:bookmarkEnd w:id="28"/>
      <w:bookmarkEnd w:id="29"/>
    </w:p>
    <w:p>
      <w:pPr>
        <w:pageBreakBefore w:val="0"/>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为了体现课程的开放性、服务性，我校在实施中根据学生生存与发展的角度，根据时代发展要求和学校办学理念，加大课程研究和开发的力度。</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30" w:name="_Toc14713419"/>
      <w:bookmarkStart w:id="31" w:name="_Toc49541683"/>
      <w:r>
        <w:rPr>
          <w:rFonts w:hint="eastAsia"/>
          <w:b/>
          <w:bCs/>
          <w:sz w:val="24"/>
          <w:szCs w:val="24"/>
          <w:lang w:val="en-US" w:eastAsia="zh-CN"/>
        </w:rPr>
        <w:t>2、教学共鸣</w:t>
      </w:r>
      <w:bookmarkEnd w:id="30"/>
      <w:bookmarkEnd w:id="31"/>
    </w:p>
    <w:p>
      <w:pPr>
        <w:pageBreakBefore w:val="0"/>
        <w:kinsoku/>
        <w:overflowPunct/>
        <w:topLinePunct w:val="0"/>
        <w:autoSpaceDE/>
        <w:autoSpaceDN/>
        <w:bidi w:val="0"/>
        <w:spacing w:line="500" w:lineRule="exact"/>
        <w:ind w:firstLine="470" w:firstLineChars="196"/>
        <w:jc w:val="left"/>
        <w:rPr>
          <w:rFonts w:ascii="宋体" w:hAnsi="宋体" w:cs="宋体"/>
          <w:kern w:val="0"/>
          <w:sz w:val="24"/>
        </w:rPr>
      </w:pPr>
      <w:r>
        <w:rPr>
          <w:rFonts w:hint="eastAsia" w:ascii="宋体" w:hAnsi="宋体" w:cs="宋体"/>
          <w:kern w:val="0"/>
          <w:sz w:val="24"/>
        </w:rPr>
        <w:t>不断创新教学过程，选择运用“教与学”和谐共鸣的教学方式，体现课程的个性化需求，学生自主快乐成长。</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32" w:name="_Toc14713420"/>
      <w:bookmarkStart w:id="33" w:name="_Toc49541684"/>
      <w:r>
        <w:rPr>
          <w:rFonts w:hint="eastAsia"/>
          <w:b/>
          <w:bCs/>
          <w:sz w:val="24"/>
          <w:szCs w:val="24"/>
          <w:lang w:val="en-US" w:eastAsia="zh-CN"/>
        </w:rPr>
        <w:t>3、多样模块</w:t>
      </w:r>
      <w:bookmarkEnd w:id="32"/>
      <w:bookmarkEnd w:id="33"/>
    </w:p>
    <w:p>
      <w:pPr>
        <w:pageBreakBefore w:val="0"/>
        <w:kinsoku/>
        <w:overflowPunct/>
        <w:topLinePunct w:val="0"/>
        <w:autoSpaceDE/>
        <w:autoSpaceDN/>
        <w:bidi w:val="0"/>
        <w:spacing w:line="500" w:lineRule="exact"/>
        <w:ind w:left="105" w:leftChars="50" w:firstLine="470" w:firstLineChars="196"/>
        <w:jc w:val="left"/>
        <w:rPr>
          <w:rFonts w:ascii="宋体" w:hAnsi="宋体" w:cs="宋体"/>
          <w:kern w:val="0"/>
          <w:sz w:val="24"/>
        </w:rPr>
      </w:pPr>
      <w:r>
        <w:rPr>
          <w:rFonts w:hint="eastAsia" w:ascii="宋体" w:hAnsi="宋体" w:cs="宋体"/>
          <w:kern w:val="0"/>
          <w:sz w:val="24"/>
        </w:rPr>
        <w:t>充分发挥教师的艺术特长和学校的办学特色，提供多样化的课程模块，体现课程的选择性。</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34" w:name="_Toc14713421"/>
      <w:bookmarkStart w:id="35" w:name="_Toc49541685"/>
      <w:r>
        <w:rPr>
          <w:rFonts w:hint="eastAsia"/>
          <w:b/>
          <w:bCs/>
          <w:sz w:val="24"/>
          <w:szCs w:val="24"/>
          <w:lang w:val="en-US" w:eastAsia="zh-CN"/>
        </w:rPr>
        <w:t>二、</w:t>
      </w:r>
      <w:bookmarkEnd w:id="34"/>
      <w:r>
        <w:rPr>
          <w:rFonts w:hint="eastAsia"/>
          <w:b/>
          <w:bCs/>
          <w:sz w:val="24"/>
          <w:szCs w:val="24"/>
          <w:lang w:val="en-US" w:eastAsia="zh-CN"/>
        </w:rPr>
        <w:t>各类课程实施要求</w:t>
      </w:r>
      <w:bookmarkEnd w:id="35"/>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在“道法自然，品行方正”的学校精神引领下，我们坚持实现“让每一颗种子茁壮成长”的办学承诺，努力做到让我们的孩子成长得更科学、更自然。我们努力实现小神农课程建设目标，并设置分年级特色课程。</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36" w:name="_Toc14713422"/>
      <w:bookmarkStart w:id="37" w:name="_Toc49541686"/>
      <w:r>
        <w:rPr>
          <w:rFonts w:hint="eastAsia"/>
          <w:b/>
          <w:bCs/>
          <w:sz w:val="24"/>
          <w:szCs w:val="24"/>
          <w:lang w:val="en-US" w:eastAsia="zh-CN"/>
        </w:rPr>
        <w:t>1、</w:t>
      </w:r>
      <w:bookmarkEnd w:id="36"/>
      <w:r>
        <w:rPr>
          <w:rFonts w:hint="eastAsia"/>
          <w:b/>
          <w:bCs/>
          <w:sz w:val="24"/>
          <w:szCs w:val="24"/>
          <w:lang w:val="en-US" w:eastAsia="zh-CN"/>
        </w:rPr>
        <w:t>基础型课程要求</w:t>
      </w:r>
      <w:bookmarkEnd w:id="37"/>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基础型课程集中体现国家的意志，依据未来公民接受教育之后所要达到的共同素质而开发的课程，体现国家对不同阶段的学生在知识与技能,过程与方法,情感态度与价值观等方面的基本要求,规定各门课程的性质、目标、内容框架,提出教学和评价建议。它主要涵盖七个学习领域：语言文学、数学学习领域、自然科学学习领域、社会科学学习领域、技术学习领域、艺术学习领域、体育健身学习领域。它由各学习领域体现共同基础要求的学科课程组成，是全体学生必修的课程，是素质教育的基本要求。坚持全体学生的全面发展，为每一个学生提供德、智、体、美等多方面的学习经历，精选学生终身学习必备的基础知识和基本技能，促进学生态度与价值观、过程能力与方法、知识与技能的和谐发展和健全人格的形成。</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38" w:name="_Toc49541687"/>
      <w:r>
        <w:rPr>
          <w:rFonts w:hint="eastAsia"/>
          <w:b/>
          <w:bCs/>
          <w:sz w:val="24"/>
          <w:szCs w:val="24"/>
          <w:lang w:val="en-US" w:eastAsia="zh-CN"/>
        </w:rPr>
        <w:t>2、拓展型课程要求</w:t>
      </w:r>
      <w:bookmarkEnd w:id="38"/>
    </w:p>
    <w:p>
      <w:pPr>
        <w:pageBreakBefore w:val="0"/>
        <w:kinsoku/>
        <w:overflowPunct/>
        <w:topLinePunct w:val="0"/>
        <w:autoSpaceDE/>
        <w:autoSpaceDN/>
        <w:bidi w:val="0"/>
        <w:spacing w:line="500" w:lineRule="exact"/>
        <w:ind w:firstLine="480" w:firstLineChars="200"/>
        <w:rPr>
          <w:rFonts w:ascii="宋体" w:hAnsi="宋体"/>
          <w:bCs/>
          <w:sz w:val="24"/>
        </w:rPr>
      </w:pPr>
      <w:r>
        <w:rPr>
          <w:rFonts w:hint="eastAsia" w:ascii="宋体" w:hAnsi="宋体"/>
          <w:bCs/>
          <w:sz w:val="24"/>
        </w:rPr>
        <w:t>拓展型课程以培育学生的主体意识、完善学生的认知结构、提高学生自我规划和自主选择能力为宗旨，着眼于培养、激发和发展学生的兴趣爱好，开发学生的潜能，促进学生个性的发展和学校办学特色的形成，是一种体现不同基础要求、具有一定开放性的课程。利用一定校外资源和家长课程，让学生多方面接触各种课程，开拓眼界，丰富知识面。</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39" w:name="_Toc49541688"/>
      <w:r>
        <w:rPr>
          <w:rFonts w:hint="eastAsia"/>
          <w:b/>
          <w:bCs/>
          <w:sz w:val="24"/>
          <w:szCs w:val="24"/>
          <w:lang w:val="en-US" w:eastAsia="zh-CN"/>
        </w:rPr>
        <w:t>3、探究型课程要求</w:t>
      </w:r>
      <w:bookmarkEnd w:id="39"/>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探究性课程是指在教学过程中，要求学生在教师指导下，通过以“自主、探究、合作”为特征的学习方式对当前教学内容中的主要知识点进行自主学习、深入探究并进行小组合作交流，从而较好地达到课程标准中关于认知目标与情感目标要求的一种教学模式。其中认知目标涉及与学科相关知识、概念、原理与能力的掌握；情感目标则涉及思想感情与道德品质的培养。该课程也可以利用一定的校外资源和家长课程，丰富探究型课程，让学生了解多元的探究世界，提升自己的综合素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40" w:name="_Toc49541689"/>
      <w:r>
        <w:rPr>
          <w:rFonts w:hint="eastAsia"/>
          <w:b/>
          <w:bCs/>
          <w:sz w:val="24"/>
          <w:szCs w:val="24"/>
          <w:lang w:val="en-US" w:eastAsia="zh-CN"/>
        </w:rPr>
        <w:t>三、校本课程</w:t>
      </w:r>
      <w:bookmarkEnd w:id="40"/>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我们在基础型课程之外，结合校情，开发拓展型和探究型课程相融合的校本课程。旨在提升学生的学习能力和综合素养。</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41" w:name="_Toc49541690"/>
      <w:r>
        <w:rPr>
          <w:rFonts w:hint="eastAsia"/>
          <w:b/>
          <w:bCs/>
          <w:sz w:val="24"/>
          <w:szCs w:val="24"/>
          <w:lang w:val="en-US" w:eastAsia="zh-CN"/>
        </w:rPr>
        <w:t>1、小神农课程</w:t>
      </w:r>
      <w:bookmarkEnd w:id="41"/>
    </w:p>
    <w:p>
      <w:pPr>
        <w:pageBreakBefore w:val="0"/>
        <w:tabs>
          <w:tab w:val="left" w:pos="7560"/>
        </w:tabs>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cs="宋体"/>
          <w:kern w:val="0"/>
          <w:sz w:val="24"/>
        </w:rPr>
        <w:t>我们的“小神农课程”课程理念是关注农村，关注儿童，关注生活，关注科学，打造一所播种知识的学校。</w:t>
      </w:r>
      <w:r>
        <w:rPr>
          <w:rFonts w:hint="eastAsia" w:ascii="宋体" w:hAnsi="宋体"/>
          <w:sz w:val="24"/>
        </w:rPr>
        <w:t>“小神农课程”的目标是培养“有梦想、会学习；亲乡土、会生活；爱科学，会探究；能生存，会合作”的儿童，并根据儿童身心发展的顺序性、阶段性与差异性，对不同阶段的学生设立不同的目标要求。</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（1）有梦想 会学习</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◇低年级：初步体验到学习的愉快；能独立阅读，学会独立思考；养成良好的学习规范与习惯。</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◇中年级：对学习产生兴趣，能主动学习；能独立识字写字，学会独立判断；养成科学的学习方法。</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◇高年级：对学习有较高的自主性；学会独立进行逻辑论证，独立钻研问题；能从学习中发现问题、提出问题并设法解决问题。</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（2）亲乡土 会生活</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◇低年级：初步了解家乡的地域生态环境；养成乐于观察，乐于动手动脑的习惯，会用语言、动作等简单表达探索的过程；愿意接触和亲近大自然和农村。</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中年级：了解家乡地域生态环境中植物、动物等的事实性知识；能主动运用各种感官探究问题，寻求答案，会用简短的语言表达、记录学习和发现的过程；乐于观察和探索自然，关心自己周围的生活环境；学会从熟悉的田园生活中发现美。</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◇高年级：能将课本所学知识迁移到具体的实践活动中；能够用适当的方式表达、交流和记录探索的过程和结果；学会主动关心周围环境和自然资源；有初步的环保意识和乡土情怀。</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（3）爱科学 会探究</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◇低年级：初步了解一些常见的科学现象与规律；积极观察，乐于动手体验，对科普实践活动有兴趣、生成感性认识；养成爱动脑、勤动脑的探究习惯。</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◇中年级：掌握现代农业、科技等事实性知识；主动参与科普实践活动，有思考和判断，形成理性认识；树立正确的科学观念，乐于探究科学世界的各种现象。</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◇高年级：了解科学探究方法的一般环节，并能分析农业、科技等的基本知识与方法；参与科普探究活动，体验科学探究的主要过程；能尝试运用所学的科学知识和技能去发现并解决生活中的问题。</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（4）能生存 会合作</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◇低年级：初步认识自然、科技、文化等现象与规律；积极体验乡土生活，养成不怕困难的品质；与同伴共同游戏、活动，并学会分享。</w:t>
      </w:r>
    </w:p>
    <w:p>
      <w:pPr>
        <w:pageBreakBefore w:val="0"/>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◇中年级：掌握自然、科技等方面的事实性知识；乐于动手操作，养成基本的动手实践能力；与同伴共同学习、探究，并互相帮助。</w:t>
      </w:r>
    </w:p>
    <w:p>
      <w:pPr>
        <w:pageBreakBefore w:val="0"/>
        <w:kinsoku/>
        <w:overflowPunct/>
        <w:topLinePunct w:val="0"/>
        <w:autoSpaceDE/>
        <w:autoSpaceDN/>
        <w:bidi w:val="0"/>
        <w:spacing w:line="500" w:lineRule="exact"/>
        <w:ind w:firstLine="480" w:firstLineChars="200"/>
        <w:jc w:val="left"/>
        <w:rPr>
          <w:rFonts w:hint="eastAsia" w:ascii="宋体" w:hAnsi="宋体"/>
          <w:sz w:val="24"/>
        </w:rPr>
      </w:pPr>
      <w:r>
        <w:rPr>
          <w:rFonts w:hint="eastAsia" w:ascii="宋体" w:hAnsi="宋体"/>
          <w:sz w:val="24"/>
        </w:rPr>
        <w:t>◇高年级：了解现代农业、科技等方面的基本方法与程序；积极探究，学会用科学的方法与技能解决问题；与同伴互助、合作劳动，并分享成果。</w:t>
      </w:r>
    </w:p>
    <w:p>
      <w:pPr>
        <w:pageBreakBefore w:val="0"/>
        <w:kinsoku/>
        <w:overflowPunct/>
        <w:topLinePunct w:val="0"/>
        <w:autoSpaceDE/>
        <w:autoSpaceDN/>
        <w:bidi w:val="0"/>
        <w:spacing w:line="500" w:lineRule="exact"/>
        <w:ind w:firstLine="2650" w:firstLineChars="1100"/>
        <w:jc w:val="left"/>
        <w:rPr>
          <w:rFonts w:ascii="宋体" w:hAnsi="宋体" w:cs="宋体"/>
          <w:b/>
          <w:bCs/>
          <w:color w:val="FF0000"/>
          <w:kern w:val="0"/>
          <w:sz w:val="24"/>
          <w:highlight w:val="none"/>
        </w:rPr>
      </w:pPr>
      <w:r>
        <w:rPr>
          <w:rFonts w:ascii="宋体" w:hAnsi="宋体"/>
          <w:b/>
          <w:bCs/>
          <w:sz w:val="24"/>
          <w:highlight w:val="none"/>
        </w:rPr>
        <w:t>20</w:t>
      </w:r>
      <w:r>
        <w:rPr>
          <w:rFonts w:hint="eastAsia" w:ascii="宋体" w:hAnsi="宋体"/>
          <w:b/>
          <w:bCs/>
          <w:sz w:val="24"/>
          <w:highlight w:val="none"/>
          <w:lang w:val="en-US" w:eastAsia="zh-CN"/>
        </w:rPr>
        <w:t>22</w:t>
      </w:r>
      <w:r>
        <w:rPr>
          <w:rFonts w:hint="eastAsia" w:ascii="宋体" w:hAnsi="宋体"/>
          <w:b/>
          <w:bCs/>
          <w:sz w:val="24"/>
          <w:highlight w:val="none"/>
        </w:rPr>
        <w:t>学年</w:t>
      </w:r>
      <w:r>
        <w:rPr>
          <w:rFonts w:hint="eastAsia" w:ascii="宋体" w:hAnsi="宋体" w:cs="宋体"/>
          <w:b/>
          <w:bCs/>
          <w:kern w:val="0"/>
          <w:sz w:val="24"/>
          <w:highlight w:val="none"/>
        </w:rPr>
        <w:t>“430 ”课程体系</w:t>
      </w:r>
    </w:p>
    <w:p>
      <w:pPr>
        <w:pageBreakBefore w:val="0"/>
        <w:kinsoku/>
        <w:overflowPunct/>
        <w:topLinePunct w:val="0"/>
        <w:autoSpaceDE/>
        <w:autoSpaceDN/>
        <w:bidi w:val="0"/>
        <w:spacing w:line="500" w:lineRule="exact"/>
        <w:ind w:firstLine="2409" w:firstLineChars="1000"/>
        <w:jc w:val="left"/>
        <w:rPr>
          <w:rFonts w:hint="eastAsia" w:ascii="宋体" w:hAnsi="宋体" w:eastAsia="宋体" w:cs="宋体"/>
          <w:b/>
          <w:bCs/>
          <w:color w:val="FF0000"/>
          <w:kern w:val="0"/>
          <w:sz w:val="24"/>
          <w:lang w:eastAsia="zh-CN"/>
        </w:rPr>
      </w:pPr>
      <w:r>
        <w:rPr>
          <w:rFonts w:hint="eastAsia" w:ascii="宋体" w:hAnsi="宋体" w:eastAsia="宋体" w:cs="宋体"/>
          <w:b/>
          <w:bCs/>
          <w:color w:val="FF0000"/>
          <w:kern w:val="0"/>
          <w:sz w:val="24"/>
          <w:lang w:eastAsia="zh-CN"/>
        </w:rPr>
        <w:drawing>
          <wp:anchor distT="0" distB="0" distL="114300" distR="114300" simplePos="0" relativeHeight="251667456" behindDoc="0" locked="0" layoutInCell="1" allowOverlap="1">
            <wp:simplePos x="0" y="0"/>
            <wp:positionH relativeFrom="column">
              <wp:posOffset>511810</wp:posOffset>
            </wp:positionH>
            <wp:positionV relativeFrom="paragraph">
              <wp:posOffset>53975</wp:posOffset>
            </wp:positionV>
            <wp:extent cx="4211955" cy="6168390"/>
            <wp:effectExtent l="0" t="0" r="17145" b="3810"/>
            <wp:wrapTopAndBottom/>
            <wp:docPr id="6" name="图片 6" descr="430课程安排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30课程安排_01"/>
                    <pic:cNvPicPr>
                      <a:picLocks noChangeAspect="1"/>
                    </pic:cNvPicPr>
                  </pic:nvPicPr>
                  <pic:blipFill>
                    <a:blip r:embed="rId6"/>
                    <a:srcRect l="12838" t="7285" r="13018" b="15976"/>
                    <a:stretch>
                      <a:fillRect/>
                    </a:stretch>
                  </pic:blipFill>
                  <pic:spPr>
                    <a:xfrm>
                      <a:off x="0" y="0"/>
                      <a:ext cx="4211955" cy="61683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42" w:name="_Toc49541691"/>
      <w:r>
        <w:rPr>
          <w:rFonts w:hint="eastAsia"/>
          <w:b/>
          <w:bCs/>
          <w:sz w:val="24"/>
          <w:szCs w:val="24"/>
          <w:lang w:val="en-US" w:eastAsia="zh-CN"/>
        </w:rPr>
        <w:t>2、幸福课程</w:t>
      </w:r>
      <w:bookmarkEnd w:id="42"/>
    </w:p>
    <w:p>
      <w:pPr>
        <w:pageBreakBefore w:val="0"/>
        <w:kinsoku/>
        <w:overflowPunct/>
        <w:topLinePunct w:val="0"/>
        <w:autoSpaceDE/>
        <w:autoSpaceDN/>
        <w:bidi w:val="0"/>
        <w:spacing w:line="500" w:lineRule="exact"/>
        <w:ind w:firstLine="480" w:firstLineChars="200"/>
        <w:jc w:val="left"/>
        <w:rPr>
          <w:rFonts w:hint="eastAsia" w:ascii="宋体" w:hAnsi="宋体" w:cs="宋体"/>
          <w:sz w:val="24"/>
        </w:rPr>
      </w:pPr>
      <w:r>
        <w:rPr>
          <w:rFonts w:hint="eastAsia" w:ascii="宋体" w:hAnsi="宋体"/>
          <w:sz w:val="24"/>
        </w:rPr>
        <w:t>曹王小学幸福课程实施将依据</w:t>
      </w:r>
      <w:r>
        <w:rPr>
          <w:rFonts w:ascii="宋体" w:hAnsi="宋体" w:cs="Arial"/>
          <w:sz w:val="24"/>
          <w:shd w:val="clear" w:color="auto" w:fill="FFFFFF"/>
        </w:rPr>
        <w:t>区本德育课程《学生幸福课程》</w:t>
      </w:r>
      <w:r>
        <w:rPr>
          <w:rFonts w:hint="eastAsia" w:ascii="宋体" w:hAnsi="宋体"/>
          <w:sz w:val="24"/>
        </w:rPr>
        <w:t>和学校“十三五”规划要求，以学生发展为本，坚持立德树人，深化德育工作内涵建设，营造健康向上的育人氛围。</w:t>
      </w:r>
      <w:r>
        <w:rPr>
          <w:rFonts w:hint="eastAsia" w:ascii="宋体" w:hAnsi="宋体"/>
          <w:sz w:val="24"/>
          <w:shd w:val="clear" w:color="auto" w:fill="FFFFFF"/>
        </w:rPr>
        <w:t>充分运用“学校、家庭、社会”三位一体的育人机制，以“HAPPY”德育课程为抓手，合理调配学校、家庭、社会教育资源，</w:t>
      </w:r>
      <w:r>
        <w:rPr>
          <w:rFonts w:hint="eastAsia" w:ascii="宋体" w:hAnsi="宋体"/>
          <w:sz w:val="24"/>
        </w:rPr>
        <w:t>增强实效，促进学生幸福生活。即</w:t>
      </w:r>
      <w:r>
        <w:rPr>
          <w:rFonts w:hint="eastAsia" w:ascii="宋体" w:hAnsi="宋体" w:cs="宋体"/>
          <w:sz w:val="24"/>
        </w:rPr>
        <w:t>H-hello（你好）课程，即行规养成教育课程；A-amusing（有趣）课程，即实践体验课程；P- perfect（完美）课程，即主题教育活动课程；P- protect(护航) 课程，即家长微课程；Y-young（青春活力）课程，即仪式典礼课程。</w:t>
      </w:r>
    </w:p>
    <w:p>
      <w:pPr>
        <w:pageBreakBefore w:val="0"/>
        <w:kinsoku/>
        <w:overflowPunct/>
        <w:topLinePunct w:val="0"/>
        <w:autoSpaceDE/>
        <w:autoSpaceDN/>
        <w:bidi w:val="0"/>
        <w:spacing w:line="500" w:lineRule="exact"/>
        <w:ind w:firstLine="480" w:firstLineChars="200"/>
        <w:jc w:val="left"/>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b/>
          <w:bCs/>
          <w:sz w:val="24"/>
          <w:szCs w:val="24"/>
          <w:lang w:val="en-US" w:eastAsia="zh-CN"/>
        </w:rPr>
      </w:pPr>
      <w:bookmarkStart w:id="43" w:name="_Toc49541692"/>
      <w:r>
        <w:rPr>
          <w:rFonts w:hint="eastAsia"/>
          <w:b/>
          <w:bCs/>
          <w:sz w:val="24"/>
          <w:szCs w:val="24"/>
          <w:lang w:val="en-US" w:eastAsia="zh-CN"/>
        </w:rPr>
        <w:t>第五部分：课程管理</w:t>
      </w:r>
      <w:bookmarkEnd w:id="43"/>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44" w:name="_Toc49541693"/>
      <w:r>
        <w:rPr>
          <w:rFonts w:hint="eastAsia"/>
          <w:b/>
          <w:bCs/>
          <w:sz w:val="24"/>
          <w:szCs w:val="24"/>
          <w:lang w:val="en-US" w:eastAsia="zh-CN"/>
        </w:rPr>
        <w:t>一、基础型课程的管理</w:t>
      </w:r>
      <w:bookmarkEnd w:id="44"/>
    </w:p>
    <w:p>
      <w:pPr>
        <w:pageBreakBefore w:val="0"/>
        <w:kinsoku/>
        <w:overflowPunct/>
        <w:topLinePunct w:val="0"/>
        <w:autoSpaceDE/>
        <w:autoSpaceDN/>
        <w:bidi w:val="0"/>
        <w:spacing w:line="500" w:lineRule="exact"/>
        <w:ind w:firstLine="480" w:firstLineChars="200"/>
        <w:rPr>
          <w:sz w:val="24"/>
        </w:rPr>
      </w:pPr>
      <w:r>
        <w:rPr>
          <w:rFonts w:hint="eastAsia"/>
          <w:sz w:val="24"/>
        </w:rPr>
        <w:t>为了全面落实《关于进一步减轻义务教育阶段学生作业负担和校外培训负担的意见》政策，进一步推进“五项管理”，学校基础型课程的实施与管理要体现校本化，要依据校情和学情，有效落实</w:t>
      </w:r>
      <w:r>
        <w:rPr>
          <w:rFonts w:hint="eastAsia" w:ascii="宋体" w:hAnsi="宋体" w:cs="宋体"/>
          <w:bCs/>
          <w:kern w:val="0"/>
          <w:sz w:val="24"/>
        </w:rPr>
        <w:t>学“五环节”实效，助力“新田园课堂”。</w:t>
      </w:r>
    </w:p>
    <w:p>
      <w:pPr>
        <w:pageBreakBefore w:val="0"/>
        <w:widowControl/>
        <w:kinsoku/>
        <w:wordWrap w:val="0"/>
        <w:overflowPunct/>
        <w:topLinePunct w:val="0"/>
        <w:autoSpaceDE/>
        <w:autoSpaceDN/>
        <w:bidi w:val="0"/>
        <w:spacing w:line="500" w:lineRule="exact"/>
        <w:ind w:firstLine="482" w:firstLineChars="200"/>
        <w:jc w:val="left"/>
        <w:rPr>
          <w:rFonts w:ascii="宋体" w:hAnsi="宋体" w:cs="宋体"/>
          <w:kern w:val="0"/>
          <w:sz w:val="24"/>
        </w:rPr>
      </w:pPr>
      <w:r>
        <w:rPr>
          <w:rFonts w:hint="eastAsia"/>
          <w:b/>
          <w:bCs/>
          <w:sz w:val="24"/>
          <w:szCs w:val="32"/>
        </w:rPr>
        <w:t>1、备课</w:t>
      </w:r>
      <w:r>
        <w:rPr>
          <w:rFonts w:hint="eastAsia" w:ascii="宋体" w:hAnsi="宋体" w:cs="宋体"/>
          <w:kern w:val="0"/>
          <w:sz w:val="24"/>
        </w:rPr>
        <w:t>：备课要充分，要做到三结合即课程标准、教材内容、学生实际，形成自己的个性化教案。每位教师须提前完成两周备课量，教案中应体现教学目标、教学过程、板书设计，作业设计和教学反思的字体颜色用</w:t>
      </w:r>
      <w:r>
        <w:rPr>
          <w:rFonts w:hint="eastAsia" w:ascii="宋体" w:hAnsi="宋体" w:cs="宋体"/>
          <w:kern w:val="0"/>
          <w:sz w:val="24"/>
          <w:lang w:val="en-US" w:eastAsia="zh-CN"/>
        </w:rPr>
        <w:t>蓝色标识</w:t>
      </w:r>
      <w:r>
        <w:rPr>
          <w:rFonts w:hint="eastAsia" w:ascii="宋体" w:hAnsi="宋体" w:cs="宋体"/>
          <w:kern w:val="0"/>
          <w:sz w:val="24"/>
        </w:rPr>
        <w:t>。期末教导处将组织进行备课本展评及课件评比。</w:t>
      </w:r>
    </w:p>
    <w:p>
      <w:pPr>
        <w:pageBreakBefore w:val="0"/>
        <w:widowControl/>
        <w:kinsoku/>
        <w:wordWrap w:val="0"/>
        <w:overflowPunct/>
        <w:topLinePunct w:val="0"/>
        <w:autoSpaceDE/>
        <w:autoSpaceDN/>
        <w:bidi w:val="0"/>
        <w:spacing w:line="500" w:lineRule="exact"/>
        <w:ind w:firstLine="482" w:firstLineChars="200"/>
        <w:jc w:val="left"/>
        <w:rPr>
          <w:rFonts w:ascii="宋体" w:hAnsi="宋体" w:cs="宋体"/>
          <w:kern w:val="0"/>
          <w:sz w:val="24"/>
        </w:rPr>
      </w:pPr>
      <w:r>
        <w:rPr>
          <w:rFonts w:hint="eastAsia"/>
          <w:b/>
          <w:bCs/>
          <w:sz w:val="24"/>
          <w:szCs w:val="32"/>
        </w:rPr>
        <w:t>2、上课</w:t>
      </w:r>
      <w:r>
        <w:rPr>
          <w:rFonts w:hint="eastAsia" w:ascii="宋体" w:hAnsi="宋体" w:cs="宋体"/>
          <w:kern w:val="0"/>
          <w:sz w:val="24"/>
        </w:rPr>
        <w:t>：是教学的主阵地，是提高教学质量的关键。因此要在“新课程标准”理念的指导下，认真处理好“学、教、练”的关系。教学中，充分利用多方资源，运用信息化技术合理应用到教学中，优化教学模式。同时要培养学生的问题意识，注重问题解决，探索优化评价方式，让评价服务于教学，尤其关注个性学习需求，提升每一节课效率。本</w:t>
      </w:r>
      <w:r>
        <w:rPr>
          <w:rFonts w:hint="eastAsia" w:ascii="宋体" w:hAnsi="宋体" w:cs="宋体"/>
          <w:kern w:val="0"/>
          <w:sz w:val="24"/>
          <w:lang w:val="en-US" w:eastAsia="zh-CN"/>
        </w:rPr>
        <w:t>学年</w:t>
      </w:r>
      <w:r>
        <w:rPr>
          <w:rFonts w:hint="eastAsia" w:ascii="宋体" w:hAnsi="宋体" w:cs="宋体"/>
          <w:kern w:val="0"/>
          <w:sz w:val="24"/>
        </w:rPr>
        <w:t>重点仍然是以人人实践课（50周岁以下）展示来提升教学质量。听课的同时，检查备课、学生作业、学生学习习惯等。同时开展新教师亮相课和骨干、青年教师展示课。</w:t>
      </w:r>
    </w:p>
    <w:p>
      <w:pPr>
        <w:pageBreakBefore w:val="0"/>
        <w:widowControl/>
        <w:kinsoku/>
        <w:wordWrap w:val="0"/>
        <w:overflowPunct/>
        <w:topLinePunct w:val="0"/>
        <w:autoSpaceDE/>
        <w:autoSpaceDN/>
        <w:bidi w:val="0"/>
        <w:spacing w:line="500" w:lineRule="exact"/>
        <w:ind w:firstLine="482" w:firstLineChars="200"/>
        <w:jc w:val="left"/>
        <w:rPr>
          <w:rFonts w:ascii="宋体" w:hAnsi="宋体" w:cs="宋体"/>
          <w:kern w:val="0"/>
          <w:sz w:val="24"/>
        </w:rPr>
      </w:pPr>
      <w:r>
        <w:rPr>
          <w:rFonts w:hint="eastAsia" w:ascii="宋体" w:hAnsi="宋体" w:cs="宋体"/>
          <w:b/>
          <w:kern w:val="0"/>
          <w:sz w:val="24"/>
        </w:rPr>
        <w:t>3、作业</w:t>
      </w:r>
      <w:r>
        <w:rPr>
          <w:rFonts w:hint="eastAsia" w:ascii="宋体" w:hAnsi="宋体" w:cs="宋体"/>
          <w:kern w:val="0"/>
          <w:sz w:val="24"/>
        </w:rPr>
        <w:t>：实行统一和个性化相结合。制定作业公示制度，提高作业设计质量，各学科统一作业格式和批改标准，针对学生不同情况，精准设计作业，根据实际学情，精选作业内容，合理确定作业数量，体现灵活性。同时教师也可根据本班级和学生特点，分层布置作业。作业批改要认真、及时、正确，明确作业既是对学生学习的巩固，也是对学生学习的反馈，也是教师教学的指向标，为改进教学而服务。</w:t>
      </w:r>
    </w:p>
    <w:p>
      <w:pPr>
        <w:pageBreakBefore w:val="0"/>
        <w:widowControl/>
        <w:kinsoku/>
        <w:wordWrap w:val="0"/>
        <w:overflowPunct/>
        <w:topLinePunct w:val="0"/>
        <w:autoSpaceDE/>
        <w:autoSpaceDN/>
        <w:bidi w:val="0"/>
        <w:spacing w:line="500" w:lineRule="exact"/>
        <w:ind w:firstLine="482" w:firstLineChars="200"/>
        <w:jc w:val="left"/>
        <w:rPr>
          <w:rFonts w:ascii="宋体" w:hAnsi="宋体" w:cs="宋体"/>
          <w:kern w:val="0"/>
          <w:sz w:val="24"/>
        </w:rPr>
      </w:pPr>
      <w:r>
        <w:rPr>
          <w:rFonts w:hint="eastAsia" w:ascii="宋体" w:hAnsi="宋体" w:cs="宋体"/>
          <w:b/>
          <w:kern w:val="0"/>
          <w:sz w:val="24"/>
        </w:rPr>
        <w:t>4、评价</w:t>
      </w:r>
      <w:r>
        <w:rPr>
          <w:rFonts w:hint="eastAsia" w:ascii="宋体" w:hAnsi="宋体" w:cs="宋体"/>
          <w:kern w:val="0"/>
          <w:sz w:val="24"/>
        </w:rPr>
        <w:t>：推行基于课标的学生学习质量的“牵牛花评价”体系和基于学情的学生学习习惯的中队“摘星”体系评价，综合评价学生在校的学习表现。</w:t>
      </w:r>
    </w:p>
    <w:p>
      <w:pPr>
        <w:keepNext w:val="0"/>
        <w:keepLines w:val="0"/>
        <w:pageBreakBefore w:val="0"/>
        <w:widowControl/>
        <w:kinsoku/>
        <w:wordWrap w:val="0"/>
        <w:overflowPunct/>
        <w:topLinePunct w:val="0"/>
        <w:autoSpaceDE/>
        <w:autoSpaceDN/>
        <w:bidi w:val="0"/>
        <w:adjustRightInd/>
        <w:snapToGrid/>
        <w:spacing w:line="500" w:lineRule="exact"/>
        <w:ind w:firstLine="482" w:firstLineChars="200"/>
        <w:jc w:val="left"/>
        <w:textAlignment w:val="auto"/>
        <w:rPr>
          <w:rFonts w:ascii="宋体" w:hAnsi="宋体" w:cs="宋体"/>
          <w:kern w:val="0"/>
          <w:sz w:val="24"/>
        </w:rPr>
      </w:pPr>
      <w:r>
        <w:rPr>
          <w:rFonts w:hint="eastAsia" w:ascii="宋体" w:hAnsi="宋体" w:cs="宋体"/>
          <w:b/>
          <w:kern w:val="0"/>
          <w:sz w:val="24"/>
        </w:rPr>
        <w:t>5、辅导</w:t>
      </w:r>
      <w:r>
        <w:rPr>
          <w:rFonts w:hint="eastAsia" w:ascii="宋体" w:hAnsi="宋体" w:cs="宋体"/>
          <w:kern w:val="0"/>
          <w:sz w:val="24"/>
        </w:rPr>
        <w:t>：教学辅导既要面向全体，也要分层次个别辅导。辅导要有针对性和实效性，帮助学生选择和构建适合他本人的学习方式和方法，促使学生在原有的基础上有所进步。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45" w:name="_Toc49541694"/>
      <w:r>
        <w:rPr>
          <w:rFonts w:hint="eastAsia"/>
          <w:b/>
          <w:bCs/>
          <w:sz w:val="24"/>
          <w:szCs w:val="24"/>
          <w:lang w:val="en-US" w:eastAsia="zh-CN"/>
        </w:rPr>
        <w:t>二、拓展型课程、探究型课程的实施</w:t>
      </w:r>
      <w:bookmarkEnd w:id="45"/>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sz w:val="24"/>
        </w:rPr>
      </w:pPr>
      <w:r>
        <w:rPr>
          <w:rFonts w:hint="eastAsia" w:ascii="宋体" w:hAnsi="宋体"/>
          <w:sz w:val="24"/>
        </w:rPr>
        <w:t>拓展型课程、探究型课程有计划地为每位学生创造学习机会，使学生获得知识、参与活动、增加体验。根据学校的办学理念，在有效实施国家课程的前提下，通过对本校学生的需求进行科学评估，充分利用当地社区资源和学校课程资源而开发的多样性、可选择性的课程。据于此，我校以《上海市拓展型课程指导纲要》，《上海市中小学课程方案》等文件为指导，坚持以学生发展为本，重视全体学生的全面发展，关注学生个性的健康发展和可持续发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46" w:name="_Toc49541695"/>
      <w:r>
        <w:rPr>
          <w:rFonts w:hint="eastAsia"/>
          <w:b/>
          <w:bCs/>
          <w:sz w:val="24"/>
          <w:szCs w:val="24"/>
          <w:lang w:val="en-US" w:eastAsia="zh-CN"/>
        </w:rPr>
        <w:t>1、实施原则</w:t>
      </w:r>
      <w:bookmarkEnd w:id="46"/>
    </w:p>
    <w:p>
      <w:pPr>
        <w:pageBreakBefore w:val="0"/>
        <w:kinsoku/>
        <w:wordWrap/>
        <w:overflowPunct/>
        <w:topLinePunct w:val="0"/>
        <w:autoSpaceDE/>
        <w:autoSpaceDN/>
        <w:bidi w:val="0"/>
        <w:snapToGrid w:val="0"/>
        <w:spacing w:line="500" w:lineRule="exact"/>
        <w:ind w:firstLine="480" w:firstLineChars="200"/>
        <w:textAlignment w:val="auto"/>
        <w:rPr>
          <w:rFonts w:ascii="宋体" w:hAnsi="宋体"/>
          <w:sz w:val="24"/>
        </w:rPr>
      </w:pPr>
      <w:r>
        <w:rPr>
          <w:rFonts w:hint="eastAsia" w:ascii="宋体" w:hAnsi="宋体"/>
          <w:sz w:val="24"/>
        </w:rPr>
        <w:t>（1）开放性原则：体现在目标的多元性，内容的宽泛性，时间空间的广域性，评价的差异性。根据多元智能理论架设整体课程体系，并在此架构上不断发展、生长出开放的特色课程。</w:t>
      </w:r>
    </w:p>
    <w:p>
      <w:pPr>
        <w:pageBreakBefore w:val="0"/>
        <w:kinsoku/>
        <w:wordWrap/>
        <w:overflowPunct/>
        <w:topLinePunct w:val="0"/>
        <w:autoSpaceDE/>
        <w:autoSpaceDN/>
        <w:bidi w:val="0"/>
        <w:snapToGrid w:val="0"/>
        <w:spacing w:line="500" w:lineRule="exact"/>
        <w:ind w:firstLine="480" w:firstLineChars="200"/>
        <w:textAlignment w:val="auto"/>
        <w:rPr>
          <w:rFonts w:ascii="宋体" w:hAnsi="宋体"/>
          <w:sz w:val="24"/>
        </w:rPr>
      </w:pPr>
      <w:r>
        <w:rPr>
          <w:rFonts w:hint="eastAsia" w:ascii="宋体" w:hAnsi="宋体"/>
          <w:sz w:val="24"/>
        </w:rPr>
        <w:t>（2）指导性原则：</w:t>
      </w:r>
      <w:r>
        <w:rPr>
          <w:rFonts w:hint="eastAsia" w:ascii="宋体" w:hAnsi="宋体" w:cs="宋体"/>
          <w:kern w:val="0"/>
          <w:sz w:val="24"/>
        </w:rPr>
        <w:t>在实施中根据学生生存与发展的角度，根据时代发展要求和学校办学理念，指导学生不断创新，选择运用“教与学”和谐共鸣的教学方式。</w:t>
      </w:r>
    </w:p>
    <w:p>
      <w:pPr>
        <w:pageBreakBefore w:val="0"/>
        <w:kinsoku/>
        <w:wordWrap/>
        <w:overflowPunct/>
        <w:topLinePunct w:val="0"/>
        <w:autoSpaceDE/>
        <w:autoSpaceDN/>
        <w:bidi w:val="0"/>
        <w:snapToGrid w:val="0"/>
        <w:spacing w:line="500" w:lineRule="exact"/>
        <w:ind w:firstLine="480" w:firstLineChars="200"/>
        <w:textAlignment w:val="auto"/>
        <w:rPr>
          <w:rFonts w:ascii="宋体" w:hAnsi="宋体"/>
          <w:sz w:val="24"/>
        </w:rPr>
      </w:pPr>
      <w:r>
        <w:rPr>
          <w:rFonts w:hint="eastAsia" w:ascii="宋体" w:hAnsi="宋体"/>
          <w:sz w:val="24"/>
        </w:rPr>
        <w:t>（3）自主自愿原则：</w:t>
      </w:r>
      <w:r>
        <w:rPr>
          <w:rFonts w:hint="eastAsia" w:ascii="宋体" w:hAnsi="宋体" w:cs="宋体"/>
          <w:kern w:val="0"/>
          <w:sz w:val="24"/>
        </w:rPr>
        <w:t>充分发挥教师的艺术特长和学校的办学特色，提供多样化的课程模块，体现课程的选择性</w:t>
      </w:r>
      <w:r>
        <w:rPr>
          <w:rFonts w:hint="eastAsia" w:ascii="宋体" w:hAnsi="宋体"/>
          <w:sz w:val="24"/>
        </w:rPr>
        <w:t>，注重学生的主体地位，尽可能满足学生的意愿、发挥学生的个性特长，使学生在活动中</w:t>
      </w:r>
      <w:r>
        <w:rPr>
          <w:rFonts w:hint="eastAsia" w:ascii="宋体" w:hAnsi="宋体" w:cs="Arial"/>
          <w:sz w:val="24"/>
        </w:rPr>
        <w:t>享受成就感和愉悦感。</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47" w:name="_Toc49541696"/>
      <w:r>
        <w:rPr>
          <w:rFonts w:hint="eastAsia"/>
          <w:b/>
          <w:bCs/>
          <w:sz w:val="24"/>
          <w:szCs w:val="24"/>
          <w:lang w:val="en-US" w:eastAsia="zh-CN"/>
        </w:rPr>
        <w:t>2、实施途径</w:t>
      </w:r>
      <w:bookmarkEnd w:id="47"/>
    </w:p>
    <w:p>
      <w:pPr>
        <w:pageBreakBefore w:val="0"/>
        <w:widowControl/>
        <w:kinsoku/>
        <w:wordWrap/>
        <w:overflowPunct/>
        <w:topLinePunct w:val="0"/>
        <w:autoSpaceDE/>
        <w:autoSpaceDN/>
        <w:bidi w:val="0"/>
        <w:spacing w:line="500" w:lineRule="exact"/>
        <w:ind w:firstLine="431" w:firstLineChars="196"/>
        <w:textAlignment w:val="auto"/>
        <w:rPr>
          <w:rFonts w:ascii="宋体" w:hAnsi="宋体" w:cs="Arial"/>
          <w:sz w:val="24"/>
        </w:rPr>
      </w:pPr>
      <w:r>
        <w:rPr>
          <w:rFonts w:hint="eastAsia" w:ascii="宋体" w:hAnsi="宋体" w:cs="宋体"/>
          <w:kern w:val="0"/>
          <w:sz w:val="22"/>
          <w:szCs w:val="22"/>
        </w:rPr>
        <w:t>为了响应“双减”政策中义务阶段学校全面开展课后看护服务，我校“</w:t>
      </w:r>
      <w:r>
        <w:rPr>
          <w:rFonts w:hint="eastAsia" w:ascii="宋体" w:hAnsi="宋体"/>
          <w:sz w:val="24"/>
        </w:rPr>
        <w:t>430</w:t>
      </w:r>
      <w:r>
        <w:rPr>
          <w:rFonts w:hint="eastAsia" w:ascii="宋体" w:hAnsi="宋体" w:cs="宋体"/>
          <w:kern w:val="0"/>
          <w:sz w:val="22"/>
          <w:szCs w:val="22"/>
        </w:rPr>
        <w:t>”</w:t>
      </w:r>
      <w:r>
        <w:rPr>
          <w:rFonts w:hint="eastAsia" w:ascii="宋体" w:hAnsi="宋体"/>
          <w:sz w:val="24"/>
        </w:rPr>
        <w:t>课程</w:t>
      </w:r>
      <w:r>
        <w:rPr>
          <w:rFonts w:hint="eastAsia" w:ascii="宋体" w:hAnsi="宋体" w:cs="Arial"/>
          <w:sz w:val="24"/>
        </w:rPr>
        <w:t>设置丰富多彩的活动内容，充分满足所有学生的需求，充分尊重学生的兴趣爱好，要用足</w:t>
      </w:r>
      <w:r>
        <w:rPr>
          <w:rFonts w:ascii="宋体" w:hAnsi="宋体" w:cs="Arial"/>
          <w:sz w:val="24"/>
        </w:rPr>
        <w:t>校内资源</w:t>
      </w:r>
      <w:r>
        <w:rPr>
          <w:rFonts w:hint="eastAsia" w:ascii="宋体" w:hAnsi="宋体" w:cs="Arial"/>
          <w:sz w:val="24"/>
        </w:rPr>
        <w:t>、用好</w:t>
      </w:r>
      <w:r>
        <w:rPr>
          <w:rFonts w:ascii="宋体" w:hAnsi="宋体" w:cs="Arial"/>
          <w:sz w:val="24"/>
        </w:rPr>
        <w:t>社会资源</w:t>
      </w:r>
      <w:r>
        <w:rPr>
          <w:rFonts w:hint="eastAsia" w:ascii="宋体" w:hAnsi="宋体" w:cs="Arial"/>
          <w:sz w:val="24"/>
        </w:rPr>
        <w:t>。</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cs="Arial"/>
          <w:sz w:val="24"/>
        </w:rPr>
      </w:pPr>
      <w:r>
        <w:rPr>
          <w:rFonts w:hint="eastAsia" w:ascii="宋体" w:hAnsi="宋体" w:cs="Arial"/>
          <w:sz w:val="24"/>
        </w:rPr>
        <w:t>（1）主题课程、社团课程：以中、长课程相结合的方式，采用学生走班的形式开展活动。中期课程实施时间一般为4个半天，学生完成后便进入第二个课程的学习，长期课程实施的时间为一个学年。以作业单与作品展示的形式呈现学习内容。</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cs="Arial"/>
          <w:sz w:val="24"/>
        </w:rPr>
      </w:pPr>
      <w:r>
        <w:rPr>
          <w:rFonts w:hint="eastAsia" w:ascii="宋体" w:hAnsi="宋体" w:cs="Arial"/>
          <w:sz w:val="24"/>
        </w:rPr>
        <w:t>（2）社会实践：依托课外社会实践活动基地，让学生积极开展社区公益、参观考察、社会调查、各项研究等社会实践活动。</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cs="Arial"/>
          <w:sz w:val="24"/>
        </w:rPr>
      </w:pPr>
      <w:r>
        <w:rPr>
          <w:rFonts w:hint="eastAsia" w:ascii="宋体" w:hAnsi="宋体" w:cs="Arial"/>
          <w:sz w:val="24"/>
        </w:rPr>
        <w:t>（3）校园主题节：开展丰富的校园主题节，如丰收节、艺术节、科技节、读书节、运动会、生活节等，展示学生各项兴趣才艺，丰富学生学习经历。</w:t>
      </w:r>
    </w:p>
    <w:p>
      <w:pPr>
        <w:pageBreakBefore w:val="0"/>
        <w:kinsoku/>
        <w:wordWrap/>
        <w:overflowPunct/>
        <w:topLinePunct w:val="0"/>
        <w:autoSpaceDE/>
        <w:autoSpaceDN/>
        <w:bidi w:val="0"/>
        <w:spacing w:line="500" w:lineRule="exact"/>
        <w:ind w:firstLine="480" w:firstLineChars="200"/>
        <w:textAlignment w:val="auto"/>
        <w:rPr>
          <w:rFonts w:ascii="宋体" w:hAnsi="宋体"/>
          <w:sz w:val="24"/>
        </w:rPr>
      </w:pPr>
      <w:r>
        <w:rPr>
          <w:rFonts w:hint="eastAsia" w:ascii="宋体" w:hAnsi="宋体"/>
          <w:sz w:val="24"/>
        </w:rPr>
        <w:t>（4）体育活动：每天确保安排1小时的体育活动时间，保证“五课两操两活动”的进行，由体育组制定活动安排表，让学生在各项体育活动中锻炼身体，养成“每天锻炼一小时”的生活习惯。</w:t>
      </w:r>
    </w:p>
    <w:p>
      <w:pPr>
        <w:pageBreakBefore w:val="0"/>
        <w:kinsoku/>
        <w:wordWrap/>
        <w:overflowPunct/>
        <w:topLinePunct w:val="0"/>
        <w:autoSpaceDE/>
        <w:autoSpaceDN/>
        <w:bidi w:val="0"/>
        <w:spacing w:line="500" w:lineRule="exact"/>
        <w:ind w:firstLine="480" w:firstLineChars="200"/>
        <w:textAlignment w:val="auto"/>
        <w:rPr>
          <w:rFonts w:ascii="宋体" w:hAnsi="宋体"/>
          <w:sz w:val="24"/>
        </w:rPr>
      </w:pPr>
      <w:r>
        <w:rPr>
          <w:rFonts w:hint="eastAsia" w:ascii="宋体" w:hAnsi="宋体"/>
          <w:sz w:val="24"/>
        </w:rPr>
        <w:t>（5）探究型课程：各年级每周1节课，充分利用探究学习包，以主题探究的形式开展。高年段尝试与学校非遗特色课程相结合，展开对风筝非遗文化的主题探究，了解徐行风筝的主要历史渊源、主要技法、作品赏析，激发对家乡优秀传统文化的喜爱。四年级引进科创集散地优质资源，利用信息化工具开展调查、研究、展示、评价，提升学生信息素养，解决学习、生活中的实际问题。</w:t>
      </w:r>
    </w:p>
    <w:p>
      <w:pPr>
        <w:pageBreakBefore w:val="0"/>
        <w:kinsoku/>
        <w:wordWrap/>
        <w:overflowPunct/>
        <w:topLinePunct w:val="0"/>
        <w:autoSpaceDE/>
        <w:autoSpaceDN/>
        <w:bidi w:val="0"/>
        <w:spacing w:line="500" w:lineRule="exact"/>
        <w:ind w:firstLine="480" w:firstLineChars="200"/>
        <w:textAlignment w:val="auto"/>
        <w:rPr>
          <w:rFonts w:ascii="宋体" w:hAnsi="宋体" w:cs="Arial"/>
          <w:sz w:val="24"/>
        </w:rPr>
      </w:pPr>
      <w:r>
        <w:rPr>
          <w:rFonts w:hint="eastAsia" w:ascii="宋体" w:hAnsi="宋体" w:cs="Arial"/>
          <w:sz w:val="24"/>
        </w:rPr>
        <w:t>（6）科创课程：</w:t>
      </w:r>
    </w:p>
    <w:p>
      <w:pPr>
        <w:pageBreakBefore w:val="0"/>
        <w:kinsoku/>
        <w:wordWrap/>
        <w:overflowPunct/>
        <w:topLinePunct w:val="0"/>
        <w:autoSpaceDE/>
        <w:autoSpaceDN/>
        <w:bidi w:val="0"/>
        <w:spacing w:line="500" w:lineRule="exact"/>
        <w:ind w:firstLine="480" w:firstLineChars="200"/>
        <w:textAlignment w:val="auto"/>
        <w:rPr>
          <w:rFonts w:ascii="宋体" w:hAnsi="宋体" w:cs="Arial"/>
          <w:sz w:val="24"/>
        </w:rPr>
      </w:pPr>
      <w:r>
        <w:rPr>
          <w:rFonts w:hint="eastAsia" w:ascii="宋体" w:hAnsi="宋体" w:cs="Arial"/>
          <w:sz w:val="24"/>
        </w:rPr>
        <w:t>富含活性的小神农课程，寻找到适合每一个孩子们的“稳定结构”；以“核心素养”为中心设计课程，开设创客空间、创智空间、创维空间、创生空间四大板块；展现农村孩子生活学习场景的课程模块，丰富学生学习经历。为大家介绍其中的三大课程。</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①小神农探秘季课程</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小神农探秘季——春夏秋冬》是校本必修课程。相较于传统的学科课程，“小神农探秘季”是一门典型的实践体验课程和多学科融合课程（包含气象，农作物、节气、传统节日）。它充分利用农村学校现有的基地资源，通过语文、数学、美术、自然科学和人文艺术等课程之间的联系，积极探索各学科学习领域的整体设计，培养学生的科学精神和人文精神；通过各种集体活动开阔学生的视野和胸襟，增强责任担当、问题解决，善于沟通和合作意识；通过各种社团活动和实践体验，使孩子们能够真正的热爱农村、热爱农业、热爱农作，热爱祖国。</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②农具D &amp;T科创课程</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结合农耕文化陈列馆里的各式农具，我们开设了以农具特色的“农艺D&amp;T”科创课程。项目组老师充分运用农耕文化陈列馆的场地和资源优势，将农具课程与农业特色结合，将传统农具与科创相结合，制定了符合低年段和高年段学情学段特点的课程内容与要求，将美术、劳技、科技等课程与农具融合，并以农具绘画、乐高农具，农具3D打印、农具编程等活动，激发学生的学习力、想象力和创造力。</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③“刚好遇见‘农’” 家长微课程</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德育为先，立德树人。结合嘉定区中小学德育工作要点和有关文件及会议精神，以区域《学生幸福课程》为工作重点，在我校“新田园教育”的引领下，开展家长微课程“刚好遇见‘农’”。主要涉及农作物、农村的风俗习惯、农具、农事，有知识类的讲授、有阅读的指导、有实践的体验等，让学生在微课程中习得知识，发展能力，同时促进亲子关系，更促进家校协同发展，提升家长满意率。</w:t>
      </w:r>
    </w:p>
    <w:p>
      <w:pPr>
        <w:pageBreakBefore w:val="0"/>
        <w:kinsoku/>
        <w:overflowPunct/>
        <w:topLinePunct w:val="0"/>
        <w:autoSpaceDE/>
        <w:autoSpaceDN/>
        <w:bidi w:val="0"/>
        <w:spacing w:line="500" w:lineRule="exact"/>
        <w:ind w:firstLine="482" w:firstLineChars="200"/>
        <w:jc w:val="center"/>
        <w:rPr>
          <w:rFonts w:hint="eastAsia" w:ascii="宋体" w:hAnsi="宋体" w:cs="宋体"/>
          <w:b/>
          <w:bCs/>
          <w:sz w:val="24"/>
        </w:rPr>
      </w:pPr>
      <w:bookmarkStart w:id="48" w:name="_Toc49541697"/>
      <w:bookmarkStart w:id="49" w:name="_Toc14713424"/>
    </w:p>
    <w:p>
      <w:pPr>
        <w:pageBreakBefore w:val="0"/>
        <w:kinsoku/>
        <w:overflowPunct/>
        <w:topLinePunct w:val="0"/>
        <w:autoSpaceDE/>
        <w:autoSpaceDN/>
        <w:bidi w:val="0"/>
        <w:spacing w:line="500" w:lineRule="exact"/>
        <w:ind w:firstLine="482" w:firstLineChars="200"/>
        <w:jc w:val="center"/>
        <w:rPr>
          <w:rFonts w:hint="eastAsia" w:ascii="宋体" w:hAnsi="宋体" w:cs="宋体"/>
          <w:b/>
          <w:bCs/>
          <w:sz w:val="24"/>
        </w:rPr>
      </w:pPr>
    </w:p>
    <w:p>
      <w:pPr>
        <w:pageBreakBefore w:val="0"/>
        <w:kinsoku/>
        <w:overflowPunct/>
        <w:topLinePunct w:val="0"/>
        <w:autoSpaceDE/>
        <w:autoSpaceDN/>
        <w:bidi w:val="0"/>
        <w:spacing w:line="500" w:lineRule="exact"/>
        <w:jc w:val="center"/>
        <w:rPr>
          <w:rFonts w:hint="eastAsia" w:ascii="宋体" w:hAnsi="宋体" w:cs="宋体"/>
          <w:b/>
          <w:bCs/>
          <w:sz w:val="24"/>
        </w:rPr>
      </w:pPr>
      <w:r>
        <w:rPr>
          <w:rFonts w:hint="eastAsia" w:ascii="宋体" w:hAnsi="宋体" w:cs="宋体"/>
          <w:b/>
          <w:bCs/>
          <w:sz w:val="24"/>
        </w:rPr>
        <w:t>第六部分：学校课程评价</w:t>
      </w:r>
      <w:bookmarkEnd w:id="48"/>
      <w:bookmarkEnd w:id="49"/>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bookmarkStart w:id="50" w:name="_Toc14713430"/>
      <w:r>
        <w:rPr>
          <w:rFonts w:hint="eastAsia" w:ascii="宋体" w:hAnsi="宋体" w:cs="宋体"/>
          <w:kern w:val="0"/>
          <w:sz w:val="24"/>
        </w:rPr>
        <w:t>课程评价是检验</w:t>
      </w:r>
      <w:r>
        <w:rPr>
          <w:rFonts w:hint="eastAsia" w:ascii="Verdana" w:hAnsi="Verdana" w:cs="宋体"/>
          <w:kern w:val="0"/>
          <w:sz w:val="24"/>
        </w:rPr>
        <w:t>课程实施效果的重要手段，</w:t>
      </w:r>
      <w:r>
        <w:rPr>
          <w:rFonts w:hint="eastAsia" w:ascii="宋体" w:hAnsi="宋体" w:cs="宋体"/>
          <w:kern w:val="0"/>
          <w:sz w:val="24"/>
        </w:rPr>
        <w:t>评价将更为科学地促进学生、教师、教学等各方面工作的协调发展。</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51" w:name="_Toc49541698"/>
      <w:r>
        <w:rPr>
          <w:rFonts w:hint="eastAsia"/>
          <w:b/>
          <w:bCs/>
          <w:sz w:val="24"/>
          <w:szCs w:val="24"/>
          <w:lang w:val="en-US" w:eastAsia="zh-CN"/>
        </w:rPr>
        <w:t>一、评价原则</w:t>
      </w:r>
      <w:bookmarkEnd w:id="51"/>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ascii="宋体" w:hAnsi="宋体" w:cs="宋体"/>
          <w:kern w:val="0"/>
          <w:sz w:val="24"/>
        </w:rPr>
        <w:t>全面</w:t>
      </w:r>
      <w:r>
        <w:rPr>
          <w:rFonts w:hint="eastAsia" w:ascii="宋体" w:hAnsi="宋体" w:cs="宋体"/>
          <w:kern w:val="0"/>
          <w:sz w:val="24"/>
        </w:rPr>
        <w:t>性：体现教育目标的全面性，综合运用各种手段和方法，促进学生各项素质的全面发展。</w:t>
      </w:r>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过程性：对学生的评价注重学生的差异性和多样性，评价中根据学生的不同思想、文化、身心发展基础，制定不同的发展目标、内容和标准，因材施评。</w:t>
      </w:r>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ascii="宋体" w:hAnsi="宋体" w:cs="宋体"/>
          <w:kern w:val="0"/>
          <w:sz w:val="24"/>
        </w:rPr>
        <w:t>激励</w:t>
      </w:r>
      <w:r>
        <w:rPr>
          <w:rFonts w:hint="eastAsia" w:ascii="宋体" w:hAnsi="宋体" w:cs="宋体"/>
          <w:kern w:val="0"/>
          <w:sz w:val="24"/>
        </w:rPr>
        <w:t>性：超越传统的、简单化的结果评价，注重情感评价，</w:t>
      </w:r>
      <w:r>
        <w:rPr>
          <w:rFonts w:ascii="宋体" w:hAnsi="宋体" w:cs="宋体"/>
          <w:kern w:val="0"/>
          <w:sz w:val="24"/>
        </w:rPr>
        <w:t>激发学生对教育目标产生兴趣，让学生感</w:t>
      </w:r>
      <w:r>
        <w:rPr>
          <w:rFonts w:hint="eastAsia" w:ascii="宋体" w:hAnsi="宋体" w:cs="宋体"/>
          <w:kern w:val="0"/>
          <w:sz w:val="24"/>
        </w:rPr>
        <w:t>受自己的成长和</w:t>
      </w:r>
      <w:r>
        <w:rPr>
          <w:rFonts w:ascii="宋体" w:hAnsi="宋体" w:cs="宋体"/>
          <w:kern w:val="0"/>
          <w:sz w:val="24"/>
        </w:rPr>
        <w:t>成功。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52" w:name="_Toc49541699"/>
      <w:r>
        <w:rPr>
          <w:rFonts w:hint="eastAsia"/>
          <w:b/>
          <w:bCs/>
          <w:sz w:val="24"/>
          <w:szCs w:val="24"/>
          <w:lang w:val="en-US" w:eastAsia="zh-CN"/>
        </w:rPr>
        <w:t>二、评价主体</w:t>
      </w:r>
      <w:bookmarkEnd w:id="52"/>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Verdana" w:hAnsi="Verdana" w:cs="宋体"/>
          <w:kern w:val="0"/>
          <w:sz w:val="24"/>
        </w:rPr>
        <w:t>将评价作为学习活动的一个重要组成部分，</w:t>
      </w:r>
      <w:r>
        <w:rPr>
          <w:rFonts w:ascii="宋体" w:hAnsi="宋体" w:cs="宋体"/>
          <w:kern w:val="0"/>
          <w:sz w:val="24"/>
        </w:rPr>
        <w:t>评价学生多方面的水平与潜能，促进学生全面发展。</w:t>
      </w:r>
      <w:r>
        <w:rPr>
          <w:rFonts w:hint="eastAsia" w:ascii="宋体" w:hAnsi="宋体" w:cs="宋体"/>
          <w:kern w:val="0"/>
          <w:sz w:val="24"/>
        </w:rPr>
        <w:t>学生发展评价由教师、学生、同学、家长、社会共同评价组合而成。</w:t>
      </w:r>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sz w:val="24"/>
        </w:rPr>
        <w:t>学校是“绿色指标”评价改革的主体，我们应该逐步建立基于课程标准的校本教学质量评价与保障体系。曹王小学探索新时代背景下与之相配套的新农村素质教育新模式，积极践行《上海市中小学生学业质量绿色指标》，以关注学生健康成长为核心价值追求推进曹王小学学业质量评价改革，努力构建“新田园教育”评价改革体系，以“百香果计划”全力打造“新田园教育”品质。</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百香果计划”名称由来：“百香果”是丫丫农场的高贵品种，当学生或教师摘齐代表各自发展指数的花朵或果实，可得“百香果奖”，“百香果奖”是曹王小学的最高荣誉。所以把此“评价改革方案”命名为“百香果计划”。</w:t>
      </w:r>
    </w:p>
    <w:p>
      <w:pPr>
        <w:pageBreakBefore w:val="0"/>
        <w:widowControl/>
        <w:kinsoku/>
        <w:overflowPunct/>
        <w:topLinePunct w:val="0"/>
        <w:autoSpaceDE/>
        <w:autoSpaceDN/>
        <w:bidi w:val="0"/>
        <w:spacing w:line="500" w:lineRule="exact"/>
        <w:ind w:firstLine="600" w:firstLineChars="250"/>
        <w:jc w:val="left"/>
        <w:rPr>
          <w:rFonts w:ascii="宋体" w:hAnsi="宋体"/>
          <w:sz w:val="24"/>
        </w:rPr>
      </w:pPr>
      <w:r>
        <w:rPr>
          <w:rFonts w:hint="eastAsia" w:ascii="宋体" w:hAnsi="宋体"/>
          <w:sz w:val="24"/>
        </w:rPr>
        <w:t>“百香果计划”评价指标：认真解读《上海市中小学生学业质量绿色指标》，不难发现其实“绿色指标”的十个“指数”主要涉及“学生与教师”两个层面。</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53" w:name="_Toc49541700"/>
      <w:r>
        <w:rPr>
          <w:rFonts w:hint="eastAsia"/>
          <w:b/>
          <w:bCs/>
          <w:sz w:val="24"/>
          <w:szCs w:val="24"/>
          <w:lang w:val="en-US" w:eastAsia="zh-CN"/>
        </w:rPr>
        <w:t>三、评价构成要素</w:t>
      </w:r>
      <w:bookmarkEnd w:id="53"/>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54" w:name="_Toc49541701"/>
      <w:r>
        <w:rPr>
          <w:rFonts w:hint="eastAsia"/>
          <w:b/>
          <w:bCs/>
          <w:sz w:val="24"/>
          <w:szCs w:val="24"/>
          <w:lang w:val="en-US" w:eastAsia="zh-CN"/>
        </w:rPr>
        <w:t>1、评价学生</w:t>
      </w:r>
      <w:bookmarkEnd w:id="54"/>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曹王小学探索新时代背景下与之相配套的新农村素质教育新模式，积极践行《上海市中小学生学业质量绿色指标》，以关注学生健康成长为核心价值追求推进曹王小学学业质量评价改革，努力构建“新田园教育”评价改革体系，以“百香果评价”全力打造“新田园教育”品质。根据“绿色指标”学生层面上如“学生学业水平指数”、“学生学习动力指数”、“品德行为指数”、“身心健康指数”等，我们相应设置了四个评价项目，项目名称：“蒲公英、牵牛花、君子兰、太阳花”。花朵总体寓意为“每一个孩子都是最美的花朵”。“百香果”是丫丫农场的高贵品种，当学生摘齐代表各自发展指数的花朵或果实，可得“百香果奖”，“百香果奖”是曹王小学的最高荣誉。</w:t>
      </w:r>
    </w:p>
    <w:p>
      <w:pPr>
        <w:pageBreakBefore w:val="0"/>
        <w:kinsoku/>
        <w:overflowPunct/>
        <w:topLinePunct w:val="0"/>
        <w:autoSpaceDE/>
        <w:autoSpaceDN/>
        <w:bidi w:val="0"/>
        <w:spacing w:line="500" w:lineRule="exact"/>
        <w:ind w:firstLine="480" w:firstLineChars="200"/>
        <w:rPr>
          <w:rFonts w:ascii="宋体" w:hAnsi="宋体"/>
          <w:sz w:val="24"/>
        </w:rPr>
      </w:pPr>
    </w:p>
    <w:tbl>
      <w:tblPr>
        <w:tblStyle w:val="11"/>
        <w:tblpPr w:leftFromText="180" w:rightFromText="180" w:vertAnchor="text" w:horzAnchor="margin" w:tblpXSpec="center" w:tblpY="-28"/>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18"/>
        <w:gridCol w:w="457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0" w:type="dxa"/>
            <w:vAlign w:val="center"/>
          </w:tcPr>
          <w:p>
            <w:pPr>
              <w:pageBreakBefore w:val="0"/>
              <w:kinsoku/>
              <w:overflowPunct/>
              <w:topLinePunct w:val="0"/>
              <w:autoSpaceDE/>
              <w:autoSpaceDN/>
              <w:bidi w:val="0"/>
              <w:spacing w:line="500" w:lineRule="exact"/>
              <w:jc w:val="center"/>
              <w:rPr>
                <w:rFonts w:ascii="宋体" w:hAnsi="宋体"/>
                <w:b/>
                <w:bCs/>
                <w:sz w:val="24"/>
              </w:rPr>
            </w:pPr>
            <w:r>
              <w:rPr>
                <w:rFonts w:hint="eastAsia" w:ascii="宋体" w:hAnsi="宋体"/>
                <w:b/>
                <w:bCs/>
                <w:sz w:val="24"/>
              </w:rPr>
              <w:t>项目果实名称</w:t>
            </w:r>
          </w:p>
        </w:tc>
        <w:tc>
          <w:tcPr>
            <w:tcW w:w="1418" w:type="dxa"/>
            <w:vAlign w:val="center"/>
          </w:tcPr>
          <w:p>
            <w:pPr>
              <w:pageBreakBefore w:val="0"/>
              <w:kinsoku/>
              <w:overflowPunct/>
              <w:topLinePunct w:val="0"/>
              <w:autoSpaceDE/>
              <w:autoSpaceDN/>
              <w:bidi w:val="0"/>
              <w:spacing w:line="500" w:lineRule="exact"/>
              <w:jc w:val="center"/>
              <w:rPr>
                <w:rFonts w:ascii="宋体" w:hAnsi="宋体"/>
                <w:b/>
                <w:bCs/>
                <w:sz w:val="24"/>
              </w:rPr>
            </w:pPr>
            <w:r>
              <w:rPr>
                <w:rFonts w:hint="eastAsia" w:ascii="宋体" w:hAnsi="宋体"/>
                <w:b/>
                <w:bCs/>
                <w:sz w:val="24"/>
              </w:rPr>
              <w:t>达成标准</w:t>
            </w:r>
          </w:p>
        </w:tc>
        <w:tc>
          <w:tcPr>
            <w:tcW w:w="4573" w:type="dxa"/>
            <w:vAlign w:val="center"/>
          </w:tcPr>
          <w:p>
            <w:pPr>
              <w:pageBreakBefore w:val="0"/>
              <w:kinsoku/>
              <w:overflowPunct/>
              <w:topLinePunct w:val="0"/>
              <w:autoSpaceDE/>
              <w:autoSpaceDN/>
              <w:bidi w:val="0"/>
              <w:spacing w:line="500" w:lineRule="exact"/>
              <w:jc w:val="center"/>
              <w:rPr>
                <w:rFonts w:ascii="宋体" w:hAnsi="宋体"/>
                <w:b/>
                <w:bCs/>
                <w:sz w:val="24"/>
              </w:rPr>
            </w:pPr>
            <w:r>
              <w:rPr>
                <w:rFonts w:hint="eastAsia" w:ascii="宋体" w:hAnsi="宋体"/>
                <w:b/>
                <w:bCs/>
                <w:sz w:val="24"/>
              </w:rPr>
              <w:t>评价方法</w:t>
            </w:r>
          </w:p>
        </w:tc>
        <w:tc>
          <w:tcPr>
            <w:tcW w:w="1305" w:type="dxa"/>
            <w:vAlign w:val="center"/>
          </w:tcPr>
          <w:p>
            <w:pPr>
              <w:pageBreakBefore w:val="0"/>
              <w:kinsoku/>
              <w:overflowPunct/>
              <w:topLinePunct w:val="0"/>
              <w:autoSpaceDE/>
              <w:autoSpaceDN/>
              <w:bidi w:val="0"/>
              <w:spacing w:line="500" w:lineRule="exact"/>
              <w:jc w:val="center"/>
              <w:rPr>
                <w:rFonts w:ascii="宋体" w:hAnsi="宋体"/>
                <w:b/>
                <w:bCs/>
                <w:sz w:val="24"/>
              </w:rPr>
            </w:pPr>
            <w:r>
              <w:rPr>
                <w:rFonts w:hint="eastAsia" w:ascii="宋体" w:hAnsi="宋体"/>
                <w:b/>
                <w:bCs/>
                <w:sz w:val="24"/>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蒲公英</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拥有梦想</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追求梦想</w:t>
            </w:r>
          </w:p>
        </w:tc>
        <w:tc>
          <w:tcPr>
            <w:tcW w:w="4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4"/>
              </w:rPr>
            </w:pPr>
            <w:r>
              <w:rPr>
                <w:rFonts w:hint="eastAsia" w:ascii="宋体" w:hAnsi="宋体"/>
                <w:sz w:val="24"/>
              </w:rPr>
              <w:t>学校及班级考评组通过学生参与学校的各类社团情况实施评价。</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牵牛花</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勤奋学习</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追求上进</w:t>
            </w:r>
          </w:p>
        </w:tc>
        <w:tc>
          <w:tcPr>
            <w:tcW w:w="4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4"/>
              </w:rPr>
            </w:pPr>
            <w:r>
              <w:rPr>
                <w:rFonts w:hint="eastAsia" w:ascii="宋体" w:hAnsi="宋体"/>
                <w:sz w:val="24"/>
              </w:rPr>
              <w:t>由班主任、任课教师、学生代表组成考评组依据学生的学习自信心、学习动机、学习态度、学业成绩等来实施评价。</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君子兰</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品行优良</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团结友爱</w:t>
            </w:r>
          </w:p>
        </w:tc>
        <w:tc>
          <w:tcPr>
            <w:tcW w:w="4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4"/>
              </w:rPr>
            </w:pPr>
            <w:r>
              <w:rPr>
                <w:rFonts w:hint="eastAsia" w:ascii="宋体" w:hAnsi="宋体"/>
                <w:sz w:val="24"/>
              </w:rPr>
              <w:t>由班主任、配班教师、学生代表组成考评组根据学生的行规表现、友爱同学、小岗位实践等实施评价。</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太阳花</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身心健康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体魄强健</w:t>
            </w:r>
          </w:p>
        </w:tc>
        <w:tc>
          <w:tcPr>
            <w:tcW w:w="4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4"/>
              </w:rPr>
            </w:pPr>
            <w:r>
              <w:rPr>
                <w:rFonts w:hint="eastAsia" w:ascii="宋体" w:hAnsi="宋体"/>
                <w:sz w:val="24"/>
              </w:rPr>
              <w:t>体育组、卫生保健教师、班主任等依据学生的心理、情感、体质健康状况及参与阳光体育运动的情况来实施评价。</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百香果</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五育并举</w:t>
            </w:r>
          </w:p>
        </w:tc>
        <w:tc>
          <w:tcPr>
            <w:tcW w:w="4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4"/>
              </w:rPr>
            </w:pPr>
            <w:r>
              <w:rPr>
                <w:rFonts w:hint="eastAsia" w:ascii="宋体" w:hAnsi="宋体"/>
                <w:sz w:val="24"/>
              </w:rPr>
              <w:t>由班主任、任课教师和学生代表、家长代表组成考评组考评在德、智、体、美、劳各方面都表现出色的学生实施评价。（集齐“四花”的学生自动获评。）</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按学年</w:t>
            </w:r>
          </w:p>
        </w:tc>
      </w:tr>
    </w:tbl>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结合学校的“百香果评价”要求，对参与以上三个项目的学生进行评价。在日常教学中关注每一位学生的习惯、通过观察学生活动、作业、测验等方面的表现，评价学生的</w:t>
      </w:r>
      <w:r>
        <w:rPr>
          <w:rFonts w:ascii="宋体" w:hAnsi="宋体"/>
          <w:sz w:val="24"/>
        </w:rPr>
        <w:t xml:space="preserve"> “学习兴趣”、“学习习惯”和“学业成果”，评价伴随教学，评价促进学生成长</w:t>
      </w:r>
      <w:r>
        <w:rPr>
          <w:rFonts w:hint="eastAsia" w:ascii="宋体" w:hAnsi="宋体"/>
          <w:sz w:val="24"/>
        </w:rPr>
        <w:t>。每学期评出若干“花朵”，让学生学有所得，学有所乐</w:t>
      </w:r>
      <w:r>
        <w:rPr>
          <w:rFonts w:ascii="宋体" w:hAnsi="宋体"/>
          <w:sz w:val="24"/>
        </w:rPr>
        <w:t>。</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认真研读各学科课程标准，把握课程标准的内容和要求，理解课程标准的评价建议。依据课程标准要求和学生年龄特征，合理设计评价目标、评价内容和评价方式。要在日常教学中关注每一位学生的习惯、通过观察学生活动、作业、测验等方面的表现，评价学生的 “学习兴趣”、“学习习惯”和“学业成果”，评价伴随教学，评价促进学生成长。</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①根据“绿色指标”学生层面上如“学生学业水平指数”、“学生学习动力指数”、“品德行为指数”、“身心健康指数”等，我们相应设置了四个评价项目，项目名称：“向日葵、牵牛花、君子兰、太阳花”。花朵总体寓意为“每一个孩子都是最美的花朵”。</w:t>
      </w:r>
    </w:p>
    <w:p>
      <w:pPr>
        <w:pageBreakBefore w:val="0"/>
        <w:widowControl/>
        <w:kinsoku/>
        <w:overflowPunct/>
        <w:topLinePunct w:val="0"/>
        <w:autoSpaceDE/>
        <w:autoSpaceDN/>
        <w:bidi w:val="0"/>
        <w:spacing w:line="500" w:lineRule="exact"/>
        <w:ind w:firstLine="600" w:firstLineChars="250"/>
        <w:jc w:val="left"/>
        <w:rPr>
          <w:rFonts w:ascii="Verdana" w:hAnsi="Verdana" w:cs="宋体"/>
          <w:kern w:val="0"/>
          <w:sz w:val="24"/>
        </w:rPr>
      </w:pPr>
      <w:r>
        <w:rPr>
          <w:rFonts w:hint="eastAsia" w:ascii="宋体" w:hAnsi="宋体" w:cs="宋体"/>
          <w:kern w:val="0"/>
          <w:sz w:val="24"/>
        </w:rPr>
        <w:t>②</w:t>
      </w:r>
      <w:r>
        <w:rPr>
          <w:rFonts w:hint="eastAsia" w:ascii="Verdana" w:hAnsi="Verdana" w:cs="宋体"/>
          <w:kern w:val="0"/>
          <w:sz w:val="24"/>
        </w:rPr>
        <w:t>《中小学生成长手册》与“百香果”配合使用，给予学生全面发展与个性成长的评价。</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结合《学生成长记录册》评价学生，要求填写规范。</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 xml:space="preserve">根据上海市教委要求，认真做好《上海市学生成长记录册》的工作，实施学生综合素质评价，落实基于课程标准的教学与评价，促进学生积极主动发展，全面提高教育质量。 </w:t>
      </w:r>
    </w:p>
    <w:tbl>
      <w:tblPr>
        <w:tblStyle w:val="11"/>
        <w:tblpPr w:leftFromText="180" w:rightFromText="180" w:vertAnchor="text" w:horzAnchor="margin" w:tblpXSpec="center" w:tblpY="330"/>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9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b/>
                <w:bCs/>
                <w:sz w:val="24"/>
              </w:rPr>
            </w:pPr>
            <w:r>
              <w:rPr>
                <w:rFonts w:hint="eastAsia" w:ascii="宋体" w:hAnsi="宋体"/>
                <w:b/>
                <w:bCs/>
                <w:sz w:val="24"/>
              </w:rPr>
              <w:t>内容</w:t>
            </w:r>
          </w:p>
        </w:tc>
        <w:tc>
          <w:tcPr>
            <w:tcW w:w="6691" w:type="dxa"/>
            <w:vAlign w:val="center"/>
          </w:tcPr>
          <w:p>
            <w:pPr>
              <w:pageBreakBefore w:val="0"/>
              <w:kinsoku/>
              <w:overflowPunct/>
              <w:topLinePunct w:val="0"/>
              <w:autoSpaceDE/>
              <w:autoSpaceDN/>
              <w:bidi w:val="0"/>
              <w:spacing w:line="500" w:lineRule="exact"/>
              <w:jc w:val="center"/>
              <w:rPr>
                <w:rFonts w:ascii="宋体" w:hAnsi="宋体"/>
                <w:b/>
                <w:bCs/>
                <w:sz w:val="24"/>
              </w:rPr>
            </w:pPr>
            <w:r>
              <w:rPr>
                <w:rFonts w:hint="eastAsia" w:ascii="宋体" w:hAnsi="宋体"/>
                <w:b/>
                <w:bCs/>
                <w:sz w:val="24"/>
              </w:rPr>
              <w:t>具体要求</w:t>
            </w:r>
          </w:p>
        </w:tc>
        <w:tc>
          <w:tcPr>
            <w:tcW w:w="1418" w:type="dxa"/>
            <w:vAlign w:val="center"/>
          </w:tcPr>
          <w:p>
            <w:pPr>
              <w:pageBreakBefore w:val="0"/>
              <w:kinsoku/>
              <w:overflowPunct/>
              <w:topLinePunct w:val="0"/>
              <w:autoSpaceDE/>
              <w:autoSpaceDN/>
              <w:bidi w:val="0"/>
              <w:spacing w:line="500" w:lineRule="exact"/>
              <w:jc w:val="center"/>
              <w:rPr>
                <w:rFonts w:ascii="宋体" w:hAnsi="宋体"/>
                <w:b/>
                <w:bCs/>
                <w:sz w:val="24"/>
              </w:rPr>
            </w:pPr>
            <w:r>
              <w:rPr>
                <w:rFonts w:hint="eastAsia" w:ascii="宋体" w:hAnsi="宋体"/>
                <w:b/>
                <w:bCs/>
                <w:sz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封面</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由班主任统一填写，“学校”、“班级”、“姓名”盖章完成</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我的名片</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一二年级由学生家长填写，三四五年级学生填写，内容完整</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行为规范情况</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根据平时表现填写，学生、家长填写</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基础型课程</w:t>
            </w:r>
          </w:p>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学习情况记录</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“学业成果”部分按照各学科不同的“说明”要求填写</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“考查内容”必须分项、等第制，学业、师评由教师填写</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拓展型课程</w:t>
            </w:r>
          </w:p>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探究型课程</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包括：非周三的体育活动课、一到五年级小神农探秘季课程、三年级心理课等</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教师指导学生填写</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快乐活动日</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周三下午：1.班队课 2.探究课/拓展课、3</w:t>
            </w:r>
            <w:r>
              <w:rPr>
                <w:rFonts w:ascii="宋体" w:hAnsi="宋体"/>
                <w:sz w:val="24"/>
              </w:rPr>
              <w:t>.</w:t>
            </w:r>
            <w:r>
              <w:rPr>
                <w:rFonts w:hint="eastAsia" w:ascii="宋体" w:hAnsi="宋体"/>
                <w:sz w:val="24"/>
              </w:rPr>
              <w:t xml:space="preserve">社团课 </w:t>
            </w:r>
            <w:r>
              <w:rPr>
                <w:rFonts w:ascii="宋体" w:hAnsi="宋体"/>
                <w:sz w:val="24"/>
              </w:rPr>
              <w:t>4</w:t>
            </w:r>
            <w:r>
              <w:rPr>
                <w:rFonts w:hint="eastAsia" w:ascii="宋体" w:hAnsi="宋体"/>
                <w:sz w:val="24"/>
              </w:rPr>
              <w:t>.体育活动课</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素质教育实践活动、高雅艺术欣赏、观看电影、团队活动等</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教师指导学生填写</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班主任</w:t>
            </w:r>
          </w:p>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课外阅读、收获园、雏鹰获奖</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收获园：个人获得的奖项。进步小档案：可以记录主持或参与的班会活动，参与黑板报、学习园地等班级布置等。</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班主任指导学生填写</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学生体质达标</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根据测试情况填写，由体育教师填写</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体育教师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心灵沟通（一）</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“爸爸妈妈的话”由家长填写，描述成长表现，提出期望</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2.“我来说一说”由学生本人填写，描述学习收获和感受</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3.“同伴的话”由班主任组织学生同伴之间互相交流与</w:t>
            </w:r>
            <w:r>
              <w:rPr>
                <w:rFonts w:ascii="宋体" w:hAnsi="宋体"/>
                <w:sz w:val="24"/>
              </w:rPr>
              <w:t>评价，</w:t>
            </w:r>
            <w:r>
              <w:rPr>
                <w:rFonts w:hint="eastAsia" w:ascii="宋体" w:hAnsi="宋体"/>
                <w:sz w:val="24"/>
              </w:rPr>
              <w:t>并完成填写。要强调并引导多关注同</w:t>
            </w:r>
            <w:r>
              <w:rPr>
                <w:rFonts w:ascii="宋体" w:hAnsi="宋体"/>
                <w:sz w:val="24"/>
              </w:rPr>
              <w:t>伴</w:t>
            </w:r>
            <w:r>
              <w:rPr>
                <w:rFonts w:hint="eastAsia" w:ascii="宋体" w:hAnsi="宋体"/>
                <w:sz w:val="24"/>
              </w:rPr>
              <w:t>的优点、发展和进步</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心灵沟通（二）</w:t>
            </w:r>
          </w:p>
        </w:tc>
        <w:tc>
          <w:tcPr>
            <w:tcW w:w="6691" w:type="dxa"/>
          </w:tcPr>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1.“任课教师的话”，语数外教师填写全部学生，填1-3格</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2.基础型课程其余学科专职教师填写每班15位学生评语，兼职教师填写每班10位学生评语，填4-6格，依次填写</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3.评语可从兴趣、习惯、学业成果等方面撰写，要与学习情况、分项等第结果有所关联，针对薄弱项提出期望和改进建议</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4.评语首行空2格。贴得工整。结尾签名，签名格式：</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美术 李老师</w:t>
            </w:r>
          </w:p>
          <w:p>
            <w:pPr>
              <w:pageBreakBefore w:val="0"/>
              <w:kinsoku/>
              <w:overflowPunct/>
              <w:topLinePunct w:val="0"/>
              <w:autoSpaceDE/>
              <w:autoSpaceDN/>
              <w:bidi w:val="0"/>
              <w:spacing w:line="500" w:lineRule="exact"/>
              <w:jc w:val="left"/>
              <w:rPr>
                <w:rFonts w:ascii="宋体" w:hAnsi="宋体"/>
                <w:sz w:val="24"/>
              </w:rPr>
            </w:pPr>
            <w:r>
              <w:rPr>
                <w:rFonts w:hint="eastAsia" w:ascii="宋体" w:hAnsi="宋体"/>
                <w:sz w:val="24"/>
              </w:rPr>
              <w:t>202</w:t>
            </w:r>
            <w:r>
              <w:rPr>
                <w:rFonts w:ascii="宋体" w:hAnsi="宋体"/>
                <w:sz w:val="24"/>
              </w:rPr>
              <w:t>1</w:t>
            </w:r>
            <w:r>
              <w:rPr>
                <w:rFonts w:hint="eastAsia" w:ascii="宋体" w:hAnsi="宋体"/>
                <w:sz w:val="24"/>
              </w:rPr>
              <w:t>.1.9</w:t>
            </w:r>
          </w:p>
        </w:tc>
        <w:tc>
          <w:tcPr>
            <w:tcW w:w="1418" w:type="dxa"/>
            <w:vAlign w:val="center"/>
          </w:tcPr>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班主任</w:t>
            </w:r>
          </w:p>
          <w:p>
            <w:pPr>
              <w:pageBreakBefore w:val="0"/>
              <w:kinsoku/>
              <w:overflowPunct/>
              <w:topLinePunct w:val="0"/>
              <w:autoSpaceDE/>
              <w:autoSpaceDN/>
              <w:bidi w:val="0"/>
              <w:spacing w:line="500" w:lineRule="exact"/>
              <w:jc w:val="center"/>
              <w:rPr>
                <w:rFonts w:ascii="宋体" w:hAnsi="宋体"/>
                <w:sz w:val="24"/>
              </w:rPr>
            </w:pPr>
            <w:r>
              <w:rPr>
                <w:rFonts w:hint="eastAsia" w:ascii="宋体" w:hAnsi="宋体"/>
                <w:sz w:val="24"/>
              </w:rPr>
              <w:t>任课教师</w:t>
            </w:r>
          </w:p>
        </w:tc>
      </w:tr>
    </w:tbl>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（1）《学生成长记录册》由班主任保管，每学期期中、期末两次发放给学生、家长交流，课程教学部组织行政每学期检查至少两次，对于不达标的情况将提出整改意见。</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（2）自评、他评、师评中采用星星评价的，一律在获得的星星上打勾（</w:t>
      </w:r>
      <w:r>
        <w:rPr>
          <w:rFonts w:hint="eastAsia" w:ascii="宋体" w:hAnsi="宋体"/>
          <w:sz w:val="24"/>
        </w:rPr>
        <w:sym w:font="Wingdings 2" w:char="F050"/>
      </w:r>
      <w:r>
        <w:rPr>
          <w:rFonts w:hint="eastAsia" w:ascii="宋体" w:hAnsi="宋体"/>
          <w:sz w:val="24"/>
        </w:rPr>
        <w:t>）表示。</w:t>
      </w:r>
    </w:p>
    <w:p>
      <w:pPr>
        <w:pageBreakBefore w:val="0"/>
        <w:kinsoku/>
        <w:overflowPunct/>
        <w:topLinePunct w:val="0"/>
        <w:autoSpaceDE/>
        <w:autoSpaceDN/>
        <w:bidi w:val="0"/>
        <w:spacing w:line="500" w:lineRule="exact"/>
        <w:ind w:firstLine="456" w:firstLineChars="200"/>
        <w:rPr>
          <w:rFonts w:ascii="宋体" w:hAnsi="宋体"/>
          <w:spacing w:val="-6"/>
          <w:sz w:val="24"/>
        </w:rPr>
      </w:pPr>
      <w:r>
        <w:rPr>
          <w:rFonts w:hint="eastAsia" w:ascii="宋体" w:hAnsi="宋体"/>
          <w:spacing w:val="-6"/>
          <w:sz w:val="24"/>
        </w:rPr>
        <w:t>（3）教师填写一律用黑色水笔，学生填写使用铅笔或者黑色水笔，字迹端正。</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55" w:name="_Toc49541702"/>
      <w:r>
        <w:rPr>
          <w:rFonts w:hint="eastAsia"/>
          <w:b/>
          <w:bCs/>
          <w:sz w:val="24"/>
          <w:szCs w:val="24"/>
          <w:lang w:val="en-US" w:eastAsia="zh-CN"/>
        </w:rPr>
        <w:t>2、评价教师</w:t>
      </w:r>
      <w:bookmarkEnd w:id="55"/>
    </w:p>
    <w:p>
      <w:pPr>
        <w:pageBreakBefore w:val="0"/>
        <w:kinsoku/>
        <w:overflowPunct/>
        <w:topLinePunct w:val="0"/>
        <w:autoSpaceDE/>
        <w:autoSpaceDN/>
        <w:bidi w:val="0"/>
        <w:adjustRightInd w:val="0"/>
        <w:snapToGrid w:val="0"/>
        <w:spacing w:line="500" w:lineRule="exact"/>
        <w:ind w:firstLine="480" w:firstLineChars="200"/>
        <w:rPr>
          <w:rFonts w:ascii="宋体" w:hAnsi="宋体" w:cs="宋体"/>
          <w:kern w:val="0"/>
          <w:sz w:val="24"/>
        </w:rPr>
      </w:pPr>
      <w:r>
        <w:rPr>
          <w:rFonts w:hint="eastAsia" w:ascii="宋体" w:hAnsi="宋体" w:cs="宋体"/>
          <w:kern w:val="0"/>
          <w:sz w:val="24"/>
        </w:rPr>
        <w:t>教师评价侧重于评价教师开发、实施科目的成效。学校完善评价机制，吸引教师参与拓展型课程的建设、实施，不断提升科目质量，不断推动课程建设。</w:t>
      </w:r>
      <w:r>
        <w:rPr>
          <w:rFonts w:ascii="宋体" w:hAnsi="宋体" w:cs="宋体"/>
          <w:kern w:val="0"/>
          <w:sz w:val="24"/>
        </w:rPr>
        <w:t>面向全体学生, 教师</w:t>
      </w:r>
      <w:r>
        <w:rPr>
          <w:rFonts w:hint="eastAsia" w:ascii="宋体" w:hAnsi="宋体" w:cs="宋体"/>
          <w:kern w:val="0"/>
          <w:sz w:val="24"/>
        </w:rPr>
        <w:t>能</w:t>
      </w:r>
      <w:r>
        <w:rPr>
          <w:rFonts w:ascii="宋体" w:hAnsi="宋体" w:cs="宋体"/>
          <w:kern w:val="0"/>
          <w:sz w:val="24"/>
        </w:rPr>
        <w:t>准确把握学情,实现因材施教，用爱滋润每一颗种子茁壮成长。</w:t>
      </w:r>
    </w:p>
    <w:p>
      <w:pPr>
        <w:pageBreakBefore w:val="0"/>
        <w:widowControl/>
        <w:kinsoku/>
        <w:overflowPunct/>
        <w:topLinePunct w:val="0"/>
        <w:autoSpaceDE/>
        <w:autoSpaceDN/>
        <w:bidi w:val="0"/>
        <w:spacing w:line="500" w:lineRule="exact"/>
        <w:ind w:firstLine="3132" w:firstLineChars="1300"/>
        <w:jc w:val="left"/>
        <w:rPr>
          <w:rFonts w:ascii="宋体" w:hAnsi="宋体" w:cs="宋体"/>
          <w:b/>
          <w:bCs w:val="0"/>
          <w:kern w:val="0"/>
          <w:sz w:val="24"/>
        </w:rPr>
      </w:pPr>
      <w:r>
        <w:rPr>
          <w:rFonts w:hint="eastAsia" w:ascii="宋体" w:hAnsi="宋体" w:cs="宋体"/>
          <w:b/>
          <w:bCs w:val="0"/>
          <w:kern w:val="0"/>
          <w:sz w:val="24"/>
        </w:rPr>
        <w:t>教师课堂教学评价标准</w:t>
      </w:r>
    </w:p>
    <w:tbl>
      <w:tblPr>
        <w:tblStyle w:val="11"/>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3432"/>
        <w:gridCol w:w="162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736" w:type="dxa"/>
            <w:vMerge w:val="restart"/>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r>
              <w:rPr>
                <w:rFonts w:hint="eastAsia" w:ascii="宋体" w:hAnsi="宋体"/>
                <w:bCs/>
                <w:snapToGrid w:val="0"/>
                <w:kern w:val="0"/>
                <w:sz w:val="24"/>
              </w:rPr>
              <w:t>一级指标</w:t>
            </w:r>
          </w:p>
        </w:tc>
        <w:tc>
          <w:tcPr>
            <w:tcW w:w="3432" w:type="dxa"/>
            <w:vMerge w:val="restart"/>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r>
              <w:rPr>
                <w:rFonts w:hint="eastAsia" w:ascii="宋体" w:hAnsi="宋体"/>
                <w:bCs/>
                <w:snapToGrid w:val="0"/>
                <w:kern w:val="0"/>
                <w:sz w:val="24"/>
              </w:rPr>
              <w:t>二级指标</w:t>
            </w:r>
          </w:p>
        </w:tc>
        <w:tc>
          <w:tcPr>
            <w:tcW w:w="1626" w:type="dxa"/>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r>
              <w:rPr>
                <w:rFonts w:hint="eastAsia" w:ascii="宋体" w:hAnsi="宋体"/>
                <w:bCs/>
                <w:snapToGrid w:val="0"/>
                <w:kern w:val="0"/>
                <w:sz w:val="24"/>
              </w:rPr>
              <w:t>评价得分</w:t>
            </w:r>
          </w:p>
        </w:tc>
        <w:tc>
          <w:tcPr>
            <w:tcW w:w="1620" w:type="dxa"/>
            <w:vMerge w:val="restart"/>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r>
              <w:rPr>
                <w:rFonts w:hint="eastAsia" w:ascii="宋体" w:hAnsi="宋体"/>
                <w:bCs/>
                <w:snapToGrid w:val="0"/>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36" w:type="dxa"/>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3432" w:type="dxa"/>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6" w:type="dxa"/>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r>
              <w:rPr>
                <w:rFonts w:hint="eastAsia" w:ascii="宋体" w:hAnsi="宋体"/>
                <w:bCs/>
                <w:snapToGrid w:val="0"/>
                <w:kern w:val="0"/>
                <w:sz w:val="24"/>
              </w:rPr>
              <w:t>1～10</w:t>
            </w:r>
          </w:p>
        </w:tc>
        <w:tc>
          <w:tcPr>
            <w:tcW w:w="1620" w:type="dxa"/>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restart"/>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r>
              <w:rPr>
                <w:rFonts w:hint="eastAsia" w:ascii="宋体" w:hAnsi="宋体"/>
                <w:bCs/>
                <w:snapToGrid w:val="0"/>
                <w:kern w:val="0"/>
                <w:sz w:val="24"/>
              </w:rPr>
              <w:t>教学目标</w:t>
            </w: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1、目标制定明确适切</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continue"/>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2、学情分析科学实际</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restart"/>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r>
              <w:rPr>
                <w:rFonts w:hint="eastAsia" w:ascii="宋体" w:hAnsi="宋体"/>
                <w:bCs/>
                <w:snapToGrid w:val="0"/>
                <w:kern w:val="0"/>
                <w:sz w:val="24"/>
              </w:rPr>
              <w:t>教学内容</w:t>
            </w: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3、情景创设启发思维</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continue"/>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4、内容呈现正确有序</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restart"/>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r>
              <w:rPr>
                <w:rFonts w:hint="eastAsia" w:ascii="宋体" w:hAnsi="宋体"/>
                <w:bCs/>
                <w:snapToGrid w:val="0"/>
                <w:kern w:val="0"/>
                <w:sz w:val="24"/>
              </w:rPr>
              <w:t>教学过程</w:t>
            </w: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5、情境创设启发四位</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6、师生互动彰显个性</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restart"/>
            <w:vAlign w:val="center"/>
          </w:tcPr>
          <w:p>
            <w:pPr>
              <w:pageBreakBefore w:val="0"/>
              <w:kinsoku/>
              <w:overflowPunct/>
              <w:topLinePunct w:val="0"/>
              <w:autoSpaceDE/>
              <w:autoSpaceDN/>
              <w:bidi w:val="0"/>
              <w:snapToGrid w:val="0"/>
              <w:spacing w:line="500" w:lineRule="exact"/>
              <w:jc w:val="center"/>
              <w:rPr>
                <w:rFonts w:ascii="宋体" w:hAnsi="宋体"/>
                <w:bCs/>
                <w:snapToGrid w:val="0"/>
                <w:kern w:val="0"/>
                <w:sz w:val="24"/>
              </w:rPr>
            </w:pPr>
            <w:r>
              <w:rPr>
                <w:rFonts w:hint="eastAsia" w:ascii="宋体" w:hAnsi="宋体"/>
                <w:bCs/>
                <w:snapToGrid w:val="0"/>
                <w:kern w:val="0"/>
                <w:sz w:val="24"/>
              </w:rPr>
              <w:t>教学方法</w:t>
            </w: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7、资源技术适时有效</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8、材料提供配套合理</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restart"/>
            <w:vAlign w:val="center"/>
          </w:tcPr>
          <w:p>
            <w:pPr>
              <w:pageBreakBefore w:val="0"/>
              <w:kinsoku/>
              <w:overflowPunct/>
              <w:topLinePunct w:val="0"/>
              <w:autoSpaceDE/>
              <w:autoSpaceDN/>
              <w:bidi w:val="0"/>
              <w:snapToGrid w:val="0"/>
              <w:spacing w:line="500" w:lineRule="exact"/>
              <w:ind w:hanging="21"/>
              <w:jc w:val="center"/>
              <w:rPr>
                <w:rFonts w:ascii="宋体" w:hAnsi="宋体"/>
                <w:bCs/>
                <w:snapToGrid w:val="0"/>
                <w:kern w:val="0"/>
                <w:sz w:val="24"/>
              </w:rPr>
            </w:pPr>
            <w:r>
              <w:rPr>
                <w:rFonts w:hint="eastAsia" w:ascii="宋体" w:hAnsi="宋体"/>
                <w:bCs/>
                <w:snapToGrid w:val="0"/>
                <w:kern w:val="0"/>
                <w:sz w:val="24"/>
              </w:rPr>
              <w:t>教学评价</w:t>
            </w: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9、评价方式多维合理</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3432" w:type="dxa"/>
            <w:vAlign w:val="center"/>
          </w:tcPr>
          <w:p>
            <w:pPr>
              <w:pageBreakBefore w:val="0"/>
              <w:kinsoku/>
              <w:overflowPunct/>
              <w:topLinePunct w:val="0"/>
              <w:autoSpaceDE/>
              <w:autoSpaceDN/>
              <w:bidi w:val="0"/>
              <w:snapToGrid w:val="0"/>
              <w:spacing w:line="500" w:lineRule="exact"/>
              <w:jc w:val="center"/>
              <w:rPr>
                <w:rFonts w:hint="eastAsia" w:ascii="宋体" w:hAnsi="宋体"/>
                <w:bCs/>
                <w:snapToGrid w:val="0"/>
                <w:kern w:val="0"/>
                <w:sz w:val="24"/>
              </w:rPr>
            </w:pPr>
            <w:r>
              <w:rPr>
                <w:rFonts w:hint="eastAsia" w:ascii="宋体" w:hAnsi="宋体"/>
                <w:bCs/>
                <w:snapToGrid w:val="0"/>
                <w:kern w:val="0"/>
                <w:sz w:val="24"/>
              </w:rPr>
              <w:t>10、注重过程体现激励</w:t>
            </w:r>
          </w:p>
        </w:tc>
        <w:tc>
          <w:tcPr>
            <w:tcW w:w="1626"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794" w:type="dxa"/>
            <w:gridSpan w:val="3"/>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r>
              <w:rPr>
                <w:rFonts w:hint="eastAsia" w:ascii="宋体" w:hAnsi="宋体"/>
                <w:bCs/>
                <w:snapToGrid w:val="0"/>
                <w:kern w:val="0"/>
                <w:sz w:val="24"/>
              </w:rPr>
              <w:t>评 语 和 建 议</w:t>
            </w:r>
          </w:p>
        </w:tc>
        <w:tc>
          <w:tcPr>
            <w:tcW w:w="1620" w:type="dxa"/>
            <w:vAlign w:val="center"/>
          </w:tcPr>
          <w:p>
            <w:pPr>
              <w:pageBreakBefore w:val="0"/>
              <w:kinsoku/>
              <w:overflowPunct/>
              <w:topLinePunct w:val="0"/>
              <w:autoSpaceDE/>
              <w:autoSpaceDN/>
              <w:bidi w:val="0"/>
              <w:snapToGrid w:val="0"/>
              <w:spacing w:line="500" w:lineRule="exact"/>
              <w:ind w:firstLine="482"/>
              <w:jc w:val="both"/>
              <w:rPr>
                <w:rFonts w:ascii="宋体" w:hAnsi="宋体"/>
                <w:bCs/>
                <w:snapToGrid w:val="0"/>
                <w:kern w:val="0"/>
                <w:sz w:val="24"/>
              </w:rPr>
            </w:pPr>
            <w:r>
              <w:rPr>
                <w:rFonts w:hint="eastAsia" w:ascii="宋体" w:hAnsi="宋体"/>
                <w:bCs/>
                <w:snapToGrid w:val="0"/>
                <w:kern w:val="0"/>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4" w:type="dxa"/>
            <w:gridSpan w:val="3"/>
            <w:vMerge w:val="restart"/>
            <w:vAlign w:val="center"/>
          </w:tcPr>
          <w:p>
            <w:pPr>
              <w:pageBreakBefore w:val="0"/>
              <w:kinsoku/>
              <w:overflowPunct/>
              <w:topLinePunct w:val="0"/>
              <w:autoSpaceDE/>
              <w:autoSpaceDN/>
              <w:bidi w:val="0"/>
              <w:snapToGrid w:val="0"/>
              <w:spacing w:line="500" w:lineRule="exact"/>
              <w:ind w:firstLine="482"/>
              <w:rPr>
                <w:rFonts w:ascii="宋体" w:hAnsi="宋体"/>
                <w:bCs/>
                <w:snapToGrid w:val="0"/>
                <w:kern w:val="0"/>
                <w:sz w:val="24"/>
              </w:rPr>
            </w:pPr>
          </w:p>
          <w:p>
            <w:pPr>
              <w:pageBreakBefore w:val="0"/>
              <w:kinsoku/>
              <w:overflowPunct/>
              <w:topLinePunct w:val="0"/>
              <w:autoSpaceDE/>
              <w:autoSpaceDN/>
              <w:bidi w:val="0"/>
              <w:snapToGrid w:val="0"/>
              <w:spacing w:line="500" w:lineRule="exact"/>
              <w:ind w:firstLine="482"/>
              <w:rPr>
                <w:rFonts w:ascii="宋体" w:hAnsi="宋体"/>
                <w:bCs/>
                <w:snapToGrid w:val="0"/>
                <w:kern w:val="0"/>
                <w:sz w:val="24"/>
              </w:rPr>
            </w:pPr>
          </w:p>
          <w:p>
            <w:pPr>
              <w:pageBreakBefore w:val="0"/>
              <w:kinsoku/>
              <w:overflowPunct/>
              <w:topLinePunct w:val="0"/>
              <w:autoSpaceDE/>
              <w:autoSpaceDN/>
              <w:bidi w:val="0"/>
              <w:snapToGrid w:val="0"/>
              <w:spacing w:line="500" w:lineRule="exact"/>
              <w:ind w:firstLine="482"/>
              <w:rPr>
                <w:rFonts w:ascii="宋体" w:hAnsi="宋体"/>
                <w:bCs/>
                <w:snapToGrid w:val="0"/>
                <w:kern w:val="0"/>
                <w:sz w:val="24"/>
              </w:rPr>
            </w:pPr>
          </w:p>
          <w:p>
            <w:pPr>
              <w:pageBreakBefore w:val="0"/>
              <w:kinsoku/>
              <w:overflowPunct/>
              <w:topLinePunct w:val="0"/>
              <w:autoSpaceDE/>
              <w:autoSpaceDN/>
              <w:bidi w:val="0"/>
              <w:snapToGrid w:val="0"/>
              <w:spacing w:line="500" w:lineRule="exact"/>
              <w:ind w:firstLine="482"/>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both"/>
              <w:rPr>
                <w:rFonts w:ascii="宋体" w:hAnsi="宋体"/>
                <w:bCs/>
                <w:snapToGrid w:val="0"/>
                <w:kern w:val="0"/>
                <w:sz w:val="24"/>
              </w:rPr>
            </w:pPr>
          </w:p>
          <w:p>
            <w:pPr>
              <w:pageBreakBefore w:val="0"/>
              <w:kinsoku/>
              <w:overflowPunct/>
              <w:topLinePunct w:val="0"/>
              <w:autoSpaceDE/>
              <w:autoSpaceDN/>
              <w:bidi w:val="0"/>
              <w:snapToGrid w:val="0"/>
              <w:spacing w:line="500" w:lineRule="exact"/>
              <w:ind w:firstLine="482"/>
              <w:jc w:val="both"/>
              <w:rPr>
                <w:rFonts w:ascii="宋体" w:hAnsi="宋体"/>
                <w:bCs/>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4" w:type="dxa"/>
            <w:gridSpan w:val="3"/>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both"/>
              <w:rPr>
                <w:rFonts w:ascii="宋体" w:hAnsi="宋体"/>
                <w:bCs/>
                <w:snapToGrid w:val="0"/>
                <w:kern w:val="0"/>
                <w:sz w:val="24"/>
              </w:rPr>
            </w:pPr>
            <w:r>
              <w:rPr>
                <w:rFonts w:hint="eastAsia" w:ascii="宋体" w:hAnsi="宋体"/>
                <w:bCs/>
                <w:snapToGrid w:val="0"/>
                <w:kern w:val="0"/>
                <w:sz w:val="24"/>
              </w:rPr>
              <w:t>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4" w:type="dxa"/>
            <w:gridSpan w:val="3"/>
            <w:vMerge w:val="continue"/>
            <w:vAlign w:val="center"/>
          </w:tcPr>
          <w:p>
            <w:pPr>
              <w:pageBreakBefore w:val="0"/>
              <w:kinsoku/>
              <w:overflowPunct/>
              <w:topLinePunct w:val="0"/>
              <w:autoSpaceDE/>
              <w:autoSpaceDN/>
              <w:bidi w:val="0"/>
              <w:snapToGrid w:val="0"/>
              <w:spacing w:line="500" w:lineRule="exact"/>
              <w:ind w:firstLine="482"/>
              <w:jc w:val="center"/>
              <w:rPr>
                <w:rFonts w:ascii="宋体" w:hAnsi="宋体"/>
                <w:bCs/>
                <w:snapToGrid w:val="0"/>
                <w:kern w:val="0"/>
                <w:sz w:val="24"/>
              </w:rPr>
            </w:pPr>
          </w:p>
        </w:tc>
        <w:tc>
          <w:tcPr>
            <w:tcW w:w="1620" w:type="dxa"/>
            <w:vAlign w:val="center"/>
          </w:tcPr>
          <w:p>
            <w:pPr>
              <w:pageBreakBefore w:val="0"/>
              <w:kinsoku/>
              <w:overflowPunct/>
              <w:topLinePunct w:val="0"/>
              <w:autoSpaceDE/>
              <w:autoSpaceDN/>
              <w:bidi w:val="0"/>
              <w:snapToGrid w:val="0"/>
              <w:spacing w:line="500" w:lineRule="exact"/>
              <w:ind w:firstLine="482"/>
              <w:jc w:val="both"/>
              <w:rPr>
                <w:rFonts w:ascii="宋体" w:hAnsi="宋体"/>
                <w:bCs/>
                <w:snapToGrid w:val="0"/>
                <w:kern w:val="0"/>
                <w:sz w:val="24"/>
              </w:rPr>
            </w:pPr>
          </w:p>
          <w:p>
            <w:pPr>
              <w:pageBreakBefore w:val="0"/>
              <w:kinsoku/>
              <w:overflowPunct/>
              <w:topLinePunct w:val="0"/>
              <w:autoSpaceDE/>
              <w:autoSpaceDN/>
              <w:bidi w:val="0"/>
              <w:snapToGrid w:val="0"/>
              <w:spacing w:line="500" w:lineRule="exact"/>
              <w:ind w:firstLine="482"/>
              <w:jc w:val="both"/>
              <w:rPr>
                <w:rFonts w:ascii="宋体" w:hAnsi="宋体"/>
                <w:bCs/>
                <w:snapToGrid w:val="0"/>
                <w:kern w:val="0"/>
                <w:sz w:val="24"/>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56" w:name="_Toc49541703"/>
      <w:r>
        <w:rPr>
          <w:rFonts w:hint="eastAsia"/>
          <w:b/>
          <w:bCs/>
          <w:sz w:val="24"/>
          <w:szCs w:val="24"/>
          <w:lang w:val="en-US" w:eastAsia="zh-CN"/>
        </w:rPr>
        <w:t>3、拓展型课程、探究型课程的教学评价要求</w:t>
      </w:r>
      <w:bookmarkEnd w:id="56"/>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用新课程理念评价教师，观察其课程改革实验中的态度、实践、创新、成效，注意教师个体差异，注重专业和个性发展。注重教师“五个要”的培养：</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教师要规范写好课程纲要。</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ascii="宋体" w:hAnsi="宋体" w:cs="宋体"/>
          <w:kern w:val="0"/>
          <w:sz w:val="24"/>
        </w:rPr>
      </w:pPr>
      <w:r>
        <w:rPr>
          <w:rFonts w:hint="eastAsia" w:ascii="宋体" w:hAnsi="宋体" w:cs="宋体"/>
          <w:kern w:val="0"/>
          <w:sz w:val="24"/>
        </w:rPr>
        <w:t>教师要设计好活动学习单。</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ascii="宋体" w:hAnsi="宋体" w:cs="宋体"/>
          <w:kern w:val="0"/>
          <w:sz w:val="24"/>
        </w:rPr>
      </w:pPr>
      <w:r>
        <w:rPr>
          <w:rFonts w:hint="eastAsia" w:ascii="宋体" w:hAnsi="宋体" w:cs="宋体"/>
          <w:kern w:val="0"/>
          <w:sz w:val="24"/>
        </w:rPr>
        <w:t>教师要上好一门校本课程。</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ascii="宋体" w:hAnsi="宋体" w:cs="宋体"/>
          <w:kern w:val="0"/>
          <w:sz w:val="24"/>
        </w:rPr>
      </w:pPr>
      <w:r>
        <w:rPr>
          <w:rFonts w:hint="eastAsia" w:ascii="宋体" w:hAnsi="宋体" w:cs="宋体"/>
          <w:kern w:val="0"/>
          <w:sz w:val="24"/>
        </w:rPr>
        <w:t>教师要对学生进行有效的评价。</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ascii="宋体" w:hAnsi="宋体" w:cs="宋体"/>
          <w:kern w:val="0"/>
          <w:sz w:val="24"/>
        </w:rPr>
      </w:pPr>
      <w:r>
        <w:rPr>
          <w:rFonts w:hint="eastAsia" w:ascii="宋体" w:hAnsi="宋体" w:cs="宋体"/>
          <w:kern w:val="0"/>
          <w:sz w:val="24"/>
        </w:rPr>
        <w:t>教师要建设并管理好课程资源。</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57" w:name="_Toc49541704"/>
      <w:r>
        <w:rPr>
          <w:rFonts w:hint="eastAsia"/>
          <w:b/>
          <w:bCs/>
          <w:sz w:val="24"/>
          <w:szCs w:val="24"/>
          <w:lang w:val="en-US" w:eastAsia="zh-CN"/>
        </w:rPr>
        <w:t>4、课程效果的评价</w:t>
      </w:r>
      <w:bookmarkEnd w:id="57"/>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根据学业质量分析、学生、家长的课程满意率调研、学生学业负担、获奖情况等方面，全面评价课程的实施成效，不断改进、优化课程内容与实施，提升课程实效。</w:t>
      </w:r>
    </w:p>
    <w:bookmarkEnd w:id="50"/>
    <w:p>
      <w:pPr>
        <w:pageBreakBefore w:val="0"/>
        <w:widowControl/>
        <w:kinsoku/>
        <w:overflowPunct/>
        <w:topLinePunct w:val="0"/>
        <w:autoSpaceDE/>
        <w:autoSpaceDN/>
        <w:bidi w:val="0"/>
        <w:spacing w:line="500" w:lineRule="exact"/>
        <w:ind w:firstLine="480" w:firstLineChars="200"/>
        <w:jc w:val="left"/>
        <w:rPr>
          <w:rFonts w:ascii="宋体" w:hAnsi="宋体"/>
          <w:sz w:val="24"/>
        </w:rPr>
      </w:pPr>
    </w:p>
    <w:p>
      <w:pPr>
        <w:pageBreakBefore w:val="0"/>
        <w:kinsoku/>
        <w:overflowPunct/>
        <w:topLinePunct w:val="0"/>
        <w:autoSpaceDE/>
        <w:autoSpaceDN/>
        <w:bidi w:val="0"/>
        <w:spacing w:line="500" w:lineRule="exact"/>
        <w:ind w:firstLine="482" w:firstLineChars="200"/>
        <w:jc w:val="center"/>
        <w:rPr>
          <w:rFonts w:hint="eastAsia" w:ascii="宋体" w:hAnsi="宋体" w:cs="宋体"/>
          <w:b/>
          <w:bCs/>
          <w:sz w:val="24"/>
        </w:rPr>
      </w:pPr>
      <w:bookmarkStart w:id="58" w:name="_Toc13641933"/>
      <w:bookmarkStart w:id="59" w:name="_Toc49541705"/>
      <w:r>
        <w:rPr>
          <w:rFonts w:hint="eastAsia" w:ascii="宋体" w:hAnsi="宋体" w:cs="宋体"/>
          <w:b/>
          <w:bCs/>
          <w:sz w:val="24"/>
        </w:rPr>
        <w:t xml:space="preserve">第七部分  </w:t>
      </w:r>
      <w:bookmarkEnd w:id="58"/>
      <w:r>
        <w:rPr>
          <w:rFonts w:hint="eastAsia" w:ascii="宋体" w:hAnsi="宋体" w:cs="宋体"/>
          <w:b/>
          <w:bCs/>
          <w:sz w:val="24"/>
        </w:rPr>
        <w:t>学校课程保障措施</w:t>
      </w:r>
      <w:bookmarkEnd w:id="59"/>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60" w:name="_Toc49541706"/>
      <w:r>
        <w:rPr>
          <w:rFonts w:hint="eastAsia"/>
          <w:b/>
          <w:bCs/>
          <w:sz w:val="24"/>
          <w:szCs w:val="24"/>
          <w:lang w:val="en-US" w:eastAsia="zh-CN"/>
        </w:rPr>
        <w:t>一、规章制度</w:t>
      </w:r>
      <w:bookmarkEnd w:id="60"/>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61" w:name="_Toc49541707"/>
      <w:r>
        <w:rPr>
          <w:rFonts w:hint="eastAsia"/>
          <w:b/>
          <w:bCs/>
          <w:sz w:val="24"/>
          <w:szCs w:val="24"/>
          <w:lang w:val="en-US" w:eastAsia="zh-CN"/>
        </w:rPr>
        <w:t>1、制度保障</w:t>
      </w:r>
      <w:bookmarkEnd w:id="61"/>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制定《曹王小学校本课程开发章程》，明晰课程开发过程中各部门和成员的职责、权限；设立“学校课程发展委员会”和“学校课程评价委员会”，使各部门在校长的领导下，在教师、学生、家长以及社区代表的监督下切实履行自身的职责。</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62" w:name="_Toc49541708"/>
      <w:r>
        <w:rPr>
          <w:rFonts w:hint="eastAsia"/>
          <w:b/>
          <w:bCs/>
          <w:sz w:val="24"/>
          <w:szCs w:val="24"/>
          <w:lang w:val="en-US" w:eastAsia="zh-CN"/>
        </w:rPr>
        <w:t>2、队伍保障</w:t>
      </w:r>
      <w:bookmarkEnd w:id="62"/>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教师必须主动承担校本课程的开发和实施。要把教师参与校本课程开发的情况纳入评优、评先等考核中。聘请顾问（市、区教委普教科）咨询、把关、审查和提供帮助；联系家长代表进行对这门课程的反馈、监督、指导、参与。</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63" w:name="_Toc49541709"/>
      <w:r>
        <w:rPr>
          <w:rFonts w:hint="eastAsia"/>
          <w:b/>
          <w:bCs/>
          <w:sz w:val="24"/>
          <w:szCs w:val="24"/>
          <w:lang w:val="en-US" w:eastAsia="zh-CN"/>
        </w:rPr>
        <w:t>3、经费保障</w:t>
      </w:r>
      <w:bookmarkEnd w:id="63"/>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设立专项资金用于课程开发、基地建设、设备维护、活动经费、印刷和出版校本教材以及音像资料等。每学年安排专项资金不定期的向教师发放课程教学的最新资料和课改的最新动态。</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64" w:name="_Toc49541710"/>
      <w:r>
        <w:rPr>
          <w:rFonts w:hint="eastAsia"/>
          <w:b/>
          <w:bCs/>
          <w:sz w:val="24"/>
          <w:szCs w:val="24"/>
          <w:lang w:val="en-US" w:eastAsia="zh-CN"/>
        </w:rPr>
        <w:t>4、后勤保障</w:t>
      </w:r>
      <w:bookmarkEnd w:id="64"/>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以全国、市、区各类文件精神为指导，坚持以人为本，服务育人的思想，树立服务宗旨，提高服务质量，规范后勤管理。各室场由专人负责，领取物品必须办理领物登记手续，以明责任，防止校产流失。注重管理，做到防湿、防晒、防锈、防腐。合理使用，学校贵重器材由专人保管。</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65" w:name="_Toc49541711"/>
      <w:r>
        <w:rPr>
          <w:rFonts w:hint="eastAsia"/>
          <w:b/>
          <w:bCs/>
          <w:sz w:val="24"/>
          <w:szCs w:val="24"/>
          <w:lang w:val="en-US" w:eastAsia="zh-CN"/>
        </w:rPr>
        <w:t>5、技术保障</w:t>
      </w:r>
      <w:bookmarkEnd w:id="65"/>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认真开展网络与信息安全工作，通过检查进一步明确安全责任，建立健全的管理制度，落实技术防范措施，保证必要的经费和条件，对有毒有害的信息进行过滤、对用户信息进行保密，确保网络与信息安全。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66" w:name="_Toc49541712"/>
      <w:r>
        <w:rPr>
          <w:rFonts w:hint="eastAsia"/>
          <w:b/>
          <w:bCs/>
          <w:sz w:val="24"/>
          <w:szCs w:val="24"/>
          <w:lang w:val="en-US" w:eastAsia="zh-CN"/>
        </w:rPr>
        <w:t>二、管理措施</w:t>
      </w:r>
      <w:bookmarkEnd w:id="66"/>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“小神农课程”试行开放式的课程管理模式，由学校领导和教师、家长委员会和社区代表三方共同管理。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67" w:name="_Toc49541713"/>
      <w:r>
        <w:rPr>
          <w:rFonts w:hint="eastAsia"/>
          <w:b/>
          <w:bCs/>
          <w:sz w:val="24"/>
          <w:szCs w:val="24"/>
          <w:lang w:val="en-US" w:eastAsia="zh-CN"/>
        </w:rPr>
        <w:t>1、管理体制及职责分工</w:t>
      </w:r>
      <w:bookmarkEnd w:id="67"/>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（1）建立学校课程领导小组</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校长作为学校课程开发的第一责任人，从宏观上提出课程设置、开发与实施的总体要求；教研部负责微观上的计划制定，将要求落实到实处。教研组长、骨干教师为组员，负责具体的课程开发与实施工作。家长委员会、社区代表参与课程的开发与实施，确保学校课程的顺利开展与实施。</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（2）成立学科统整小组</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主要由校级领导、中层领导、教研组长、骨干教师、家长委员会和社区代表组成。主要负责学校课程开发、实施与建设，充分发挥学校优势，并利用校内资源、社区资源和学生家长资源开发校本课程，不断完善学校课程的主要内容、落实课程计划要求。</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设立“学校课程评估委员会”</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主要由学校领导、教师、学生、家长和课程专家共同组成。主要负责开发学校课程评估工具，并负责对学校课程的实施进行评价，并提出建设性建议。</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68" w:name="_Toc49541714"/>
      <w:r>
        <w:rPr>
          <w:rFonts w:hint="eastAsia"/>
          <w:b/>
          <w:bCs/>
          <w:sz w:val="24"/>
          <w:szCs w:val="24"/>
          <w:lang w:val="en-US" w:eastAsia="zh-CN"/>
        </w:rPr>
        <w:t>2、管理程序</w:t>
      </w:r>
      <w:bookmarkEnd w:id="68"/>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（1）课程开发程序</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小神农课程”开发程序包括“学校课程发展委员会”进行学校课程开发方案的前期设计，由学校校务会讨论通过；各学科教研组根据“小神农课程”方案自主开发学科整合课程，并撰写课程计划，选编教材，由“学校课程发展委员会”审查通过；“学校课程委员会”对学校课程的实施进程及结果进行评价，并且总结经验，修订、完善学校课程计划。</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（2）课程管理程序</w:t>
      </w:r>
    </w:p>
    <w:p>
      <w:pPr>
        <w:pageBreakBefore w:val="0"/>
        <w:widowControl/>
        <w:kinsoku/>
        <w:overflowPunct/>
        <w:topLinePunct w:val="0"/>
        <w:autoSpaceDE/>
        <w:autoSpaceDN/>
        <w:bidi w:val="0"/>
        <w:spacing w:line="500" w:lineRule="exact"/>
        <w:ind w:firstLine="480" w:firstLineChars="200"/>
        <w:jc w:val="left"/>
        <w:rPr>
          <w:rFonts w:ascii="宋体" w:hAnsi="宋体"/>
          <w:sz w:val="24"/>
        </w:rPr>
      </w:pPr>
      <w:r>
        <w:rPr>
          <w:rFonts w:hint="eastAsia" w:ascii="宋体" w:hAnsi="宋体"/>
          <w:sz w:val="24"/>
        </w:rPr>
        <w:t>学校课程管理程序包括：在“小神农课程”实施过程中，由教研部负责课程之间的整体协调，同时做好监控工作；教师根据各类课程计划制定教学（活动）计划、进度和实施方案，组织实施；教师及时整理、保存教学（活动）的相关资料及取得的成绩证明；教师撰写课程实施的教学案例，及时总结、反思；学校每学期召开学校课程研讨会，交流教师的成功经验，解决存在的问题，总结课程实施的情况；“学校课程开发小组”参与课程实施的全过程指导，了解具体情况，召开分析会，总结经验；“学校课程评估小组”随机参与教学（活动），了解活动进程，每学期结束是对学校课程的实施情况评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69" w:name="_Toc49541715"/>
      <w:r>
        <w:rPr>
          <w:rFonts w:hint="eastAsia"/>
          <w:b/>
          <w:bCs/>
          <w:sz w:val="24"/>
          <w:szCs w:val="24"/>
          <w:lang w:val="en-US" w:eastAsia="zh-CN"/>
        </w:rPr>
        <w:t>三、资源利用</w:t>
      </w:r>
      <w:bookmarkEnd w:id="69"/>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结合历史传承和学校区域特色，以及自身发展条件，在上级部门的支持指导下，学校高屋建瓴：以特色项目走特色化内涵发展之路。</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70" w:name="_Toc49541716"/>
      <w:r>
        <w:rPr>
          <w:rFonts w:hint="eastAsia"/>
          <w:b/>
          <w:bCs/>
          <w:sz w:val="24"/>
          <w:szCs w:val="24"/>
          <w:lang w:val="en-US" w:eastAsia="zh-CN"/>
        </w:rPr>
        <w:t>1、课程基地选择</w:t>
      </w:r>
      <w:bookmarkEnd w:id="70"/>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学校挖掘特有的课程资源优势，将闲置的半亩土地建成一个微型农场——丫丫农场，后又升级换代成上海市第二批创新实验室——小神农创新实验室。以培养“有梦想、会学习；亲乡土、会生活；爱科学，会探究；能生存，会合作”的创新人才为目标，形成了“知识本位向能力本位”转变的新农村教育载体。</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71" w:name="_Toc49541717"/>
      <w:r>
        <w:rPr>
          <w:rFonts w:hint="eastAsia"/>
          <w:b/>
          <w:bCs/>
          <w:sz w:val="24"/>
          <w:szCs w:val="24"/>
          <w:lang w:val="en-US" w:eastAsia="zh-CN"/>
        </w:rPr>
        <w:t>2、课程基地构造</w:t>
      </w:r>
      <w:bookmarkEnd w:id="71"/>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贯彻全面发展，聚焦核心素养。在“小神农创新实验室”基础上，我们倾力打造嘉定区第二批创客工场的“芯农业创客坊”，为培养“有梦想、会学习；亲乡土、会生活；爱科学，会探究；能生存，会合作”的创新人才，搭建了综合课程创造力实践体验的课程基地。</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b/>
          <w:bCs/>
          <w:sz w:val="24"/>
          <w:szCs w:val="24"/>
          <w:lang w:val="en-US" w:eastAsia="zh-CN"/>
        </w:rPr>
      </w:pPr>
      <w:bookmarkStart w:id="72" w:name="_Toc49541718"/>
      <w:r>
        <w:rPr>
          <w:rFonts w:hint="eastAsia"/>
          <w:b/>
          <w:bCs/>
          <w:sz w:val="24"/>
          <w:szCs w:val="24"/>
          <w:lang w:val="en-US" w:eastAsia="zh-CN"/>
        </w:rPr>
        <w:t>3、课程基地价值</w:t>
      </w:r>
      <w:bookmarkEnd w:id="72"/>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学会因地制宜，必须因材施教。以“芯农业创客坊”为学校转型发展的有形载体，从学生的生活背景出发，将本土资源视为可供“知识迁移”的学习实践生态圈,改变了现有课程与农村孩子生活经验脱离的现状，为解决农村学校课程改革提示了一种有价值的选择。</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sz w:val="24"/>
          <w:szCs w:val="24"/>
          <w:lang w:val="en-US" w:eastAsia="zh-CN"/>
        </w:rPr>
      </w:pPr>
      <w:bookmarkStart w:id="73" w:name="_Toc49541719"/>
      <w:r>
        <w:rPr>
          <w:rFonts w:hint="eastAsia"/>
          <w:b/>
          <w:bCs/>
          <w:sz w:val="24"/>
          <w:szCs w:val="24"/>
          <w:lang w:val="en-US" w:eastAsia="zh-CN"/>
        </w:rPr>
        <w:t>四、专业发展</w:t>
      </w:r>
      <w:bookmarkEnd w:id="73"/>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为了认真贯彻落实“让每个孩子健康快乐地成长”要求，深化课程与教学改革，紧紧围绕嘉定区“品质教育”和《嘉定区教育综合改革“砺新计划”的实施意见》，嘉定区曹王小学基于学校十四五发展规划要求，深入推进学校课程改革，以“蒲滨师者”课程为主线，通过 “人文素养”、“教育技能”，“课程执行”、“育德能力”、“校务管理”的五大板块培训，提升教师教育教学能力和幸福。</w:t>
      </w:r>
    </w:p>
    <w:p>
      <w:pPr>
        <w:pageBreakBefore w:val="0"/>
        <w:widowControl/>
        <w:kinsoku/>
        <w:overflowPunct/>
        <w:topLinePunct w:val="0"/>
        <w:autoSpaceDE/>
        <w:autoSpaceDN/>
        <w:bidi w:val="0"/>
        <w:spacing w:line="500" w:lineRule="exact"/>
        <w:ind w:firstLine="480" w:firstLineChars="200"/>
        <w:jc w:val="left"/>
        <w:rPr>
          <w:rFonts w:ascii="宋体" w:hAnsi="宋体" w:cs="宋体"/>
          <w:kern w:val="0"/>
          <w:sz w:val="24"/>
        </w:rPr>
      </w:pPr>
      <w:r>
        <w:rPr>
          <w:rFonts w:hint="eastAsia" w:ascii="宋体" w:hAnsi="宋体" w:cs="宋体"/>
          <w:kern w:val="0"/>
          <w:sz w:val="24"/>
        </w:rPr>
        <w:t>在这五项培训中，我们重点在“课程执行”板块中我们以“主题式的研训教活动”为载体，以“质量立校，科研兴校，特色强校”为核心，优化课堂教学，美化教学环境,活化教学氛围,润化师生关系，开展全校教师主题式分层培训，实现教师专业快速成长。教师们改变着教与学的方式，储存了教育正能量，提升了教与学的质量，以独有的职业幸福感激励着教师们心的奔跑。</w:t>
      </w:r>
    </w:p>
    <w:p>
      <w:pPr>
        <w:pageBreakBefore w:val="0"/>
        <w:kinsoku/>
        <w:overflowPunct/>
        <w:topLinePunct w:val="0"/>
        <w:autoSpaceDE/>
        <w:autoSpaceDN/>
        <w:bidi w:val="0"/>
        <w:spacing w:line="500" w:lineRule="exact"/>
        <w:ind w:firstLine="480" w:firstLineChars="200"/>
        <w:rPr>
          <w:rFonts w:ascii="宋体" w:hAnsi="宋体"/>
          <w:sz w:val="24"/>
        </w:rPr>
      </w:pPr>
      <w:r>
        <w:rPr>
          <w:rFonts w:ascii="宋体" w:hAnsi="宋体"/>
          <w:sz w:val="24"/>
        </w:rPr>
        <w:t>1</w:t>
      </w:r>
      <w:r>
        <w:rPr>
          <w:rFonts w:hint="eastAsia" w:ascii="宋体" w:hAnsi="宋体"/>
          <w:sz w:val="24"/>
        </w:rPr>
        <w:t>、对全体教师分级培训，建立各个层面的师资队伍，如新田园骨干教师等分层培训，骨干教师结合自身学科与学校龙头项目定期上好展示课，成为新田园教师品质的新形象，曹王小学教学节暨新优质集团联盟系列活动成功举办，全体教师课件制作展示；青年教师沙龙系列活动；青年教师三笔字（粉笔字、毛笔字和钢笔字）评比；课堂教学评比；教研组命题评比活动等。</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2、搭建多元平台打造各层次骨干教师。加大骨干教师、青年教师的培养力度，形成一支政治思想和师德表现良好、具有一定</w:t>
      </w:r>
      <w:r>
        <w:rPr>
          <w:rFonts w:hint="eastAsia" w:ascii="宋体" w:hAnsi="宋体"/>
          <w:sz w:val="24"/>
          <w:lang w:val="en-US" w:eastAsia="zh-CN"/>
        </w:rPr>
        <w:t>专业素养</w:t>
      </w:r>
      <w:r>
        <w:rPr>
          <w:rFonts w:hint="eastAsia" w:ascii="宋体" w:hAnsi="宋体"/>
          <w:sz w:val="24"/>
        </w:rPr>
        <w:t>的</w:t>
      </w:r>
      <w:r>
        <w:rPr>
          <w:rFonts w:hint="eastAsia" w:ascii="宋体" w:hAnsi="宋体"/>
          <w:sz w:val="24"/>
          <w:lang w:val="en-US" w:eastAsia="zh-CN"/>
        </w:rPr>
        <w:t>校、</w:t>
      </w:r>
      <w:r>
        <w:rPr>
          <w:rFonts w:hint="eastAsia" w:ascii="宋体" w:hAnsi="宋体"/>
          <w:sz w:val="24"/>
        </w:rPr>
        <w:t>镇</w:t>
      </w:r>
      <w:r>
        <w:rPr>
          <w:rFonts w:hint="eastAsia" w:ascii="宋体" w:hAnsi="宋体"/>
          <w:sz w:val="24"/>
          <w:lang w:eastAsia="zh-CN"/>
        </w:rPr>
        <w:t>、</w:t>
      </w:r>
      <w:r>
        <w:rPr>
          <w:rFonts w:hint="eastAsia" w:ascii="宋体" w:hAnsi="宋体"/>
          <w:sz w:val="24"/>
          <w:lang w:val="en-US" w:eastAsia="zh-CN"/>
        </w:rPr>
        <w:t>集团、</w:t>
      </w:r>
      <w:r>
        <w:rPr>
          <w:rFonts w:hint="eastAsia" w:ascii="宋体" w:hAnsi="宋体"/>
          <w:sz w:val="24"/>
        </w:rPr>
        <w:t>区有影响力“新田园名师”成长的梯队。</w:t>
      </w:r>
    </w:p>
    <w:p>
      <w:pPr>
        <w:pageBreakBefore w:val="0"/>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3、推进主题式校本教研活动纵深发展。根据教师个人发展规划，成立骨干教师、</w:t>
      </w:r>
      <w:r>
        <w:rPr>
          <w:rFonts w:hint="eastAsia" w:ascii="宋体" w:hAnsi="宋体"/>
          <w:sz w:val="24"/>
          <w:lang w:val="en-US" w:eastAsia="zh-CN"/>
        </w:rPr>
        <w:t>集团首席教师、</w:t>
      </w:r>
      <w:r>
        <w:rPr>
          <w:rFonts w:hint="eastAsia" w:ascii="宋体" w:hAnsi="宋体"/>
          <w:sz w:val="24"/>
        </w:rPr>
        <w:t>新教师工作坊，通过“专业引领、同伴互动、自我反思”，把“研训教评一体化”的主题式校本教研活动推向纵深发展。</w:t>
      </w:r>
    </w:p>
    <w:p>
      <w:pPr>
        <w:pageBreakBefore w:val="0"/>
        <w:widowControl/>
        <w:kinsoku/>
        <w:overflowPunct/>
        <w:topLinePunct w:val="0"/>
        <w:autoSpaceDE/>
        <w:autoSpaceDN/>
        <w:bidi w:val="0"/>
        <w:spacing w:line="500" w:lineRule="exact"/>
        <w:ind w:firstLine="480" w:firstLineChars="200"/>
        <w:rPr>
          <w:rFonts w:ascii="宋体" w:hAnsi="宋体"/>
          <w:sz w:val="24"/>
        </w:rPr>
      </w:pPr>
      <w:r>
        <w:rPr>
          <w:rFonts w:hint="eastAsia" w:ascii="宋体" w:hAnsi="宋体"/>
          <w:sz w:val="24"/>
        </w:rPr>
        <w:t>4、新田园学术委员会，由学校各学科骨干组成，建立研教训一体工作模式。实施“心触点</w:t>
      </w:r>
      <w:r>
        <w:rPr>
          <w:rFonts w:hint="eastAsia" w:ascii="宋体" w:hAnsi="宋体"/>
          <w:sz w:val="24"/>
          <w:lang w:val="en-US" w:eastAsia="zh-CN"/>
        </w:rPr>
        <w:t xml:space="preserve"> </w:t>
      </w:r>
      <w:r>
        <w:rPr>
          <w:rFonts w:hint="eastAsia" w:ascii="宋体" w:hAnsi="宋体"/>
          <w:sz w:val="24"/>
        </w:rPr>
        <w:t>馨悦读”——新田园教师阅读计划，通过不同的部门开展阅读分享，全力实施课堂转型的金钥匙</w:t>
      </w:r>
      <w:r>
        <w:rPr>
          <w:rFonts w:hint="eastAsia" w:ascii="宋体" w:hAnsi="宋体"/>
          <w:sz w:val="24"/>
          <w:lang w:val="en-US" w:eastAsia="zh-CN"/>
        </w:rPr>
        <w:t>三</w:t>
      </w:r>
      <w:r>
        <w:rPr>
          <w:rFonts w:hint="eastAsia" w:ascii="宋体" w:hAnsi="宋体"/>
          <w:sz w:val="24"/>
        </w:rPr>
        <w:t>大项目，深度探索“融合式教学模式”、“基于学生学习需要的差异教学策略”</w:t>
      </w:r>
      <w:r>
        <w:rPr>
          <w:rFonts w:hint="eastAsia" w:ascii="宋体" w:hAnsi="宋体"/>
          <w:sz w:val="24"/>
          <w:lang w:eastAsia="zh-CN"/>
        </w:rPr>
        <w:t>、“</w:t>
      </w:r>
      <w:r>
        <w:rPr>
          <w:rFonts w:hint="eastAsia" w:ascii="宋体" w:hAnsi="宋体"/>
          <w:sz w:val="24"/>
          <w:lang w:val="en-US" w:eastAsia="zh-CN"/>
        </w:rPr>
        <w:t>多支架教学”</w:t>
      </w:r>
      <w:r>
        <w:rPr>
          <w:rFonts w:hint="eastAsia" w:ascii="宋体" w:hAnsi="宋体"/>
          <w:sz w:val="24"/>
        </w:rPr>
        <w:t>，打造了一支以“自我更新”为标识的新田园教师队伍。</w:t>
      </w:r>
    </w:p>
    <w:p>
      <w:pPr>
        <w:pageBreakBefore w:val="0"/>
        <w:widowControl/>
        <w:kinsoku/>
        <w:overflowPunct/>
        <w:topLinePunct w:val="0"/>
        <w:autoSpaceDE/>
        <w:autoSpaceDN/>
        <w:bidi w:val="0"/>
        <w:snapToGrid w:val="0"/>
        <w:spacing w:line="500" w:lineRule="exact"/>
        <w:ind w:firstLine="480" w:firstLineChars="200"/>
      </w:pPr>
      <w:r>
        <w:rPr>
          <w:rFonts w:hint="eastAsia" w:ascii="宋体" w:hAnsi="宋体" w:cs="宋体"/>
          <w:kern w:val="0"/>
          <w:sz w:val="24"/>
          <w:lang w:val="en-US" w:eastAsia="zh-CN"/>
        </w:rPr>
        <w:t>学校</w:t>
      </w:r>
      <w:r>
        <w:rPr>
          <w:rFonts w:hint="eastAsia" w:ascii="宋体" w:hAnsi="宋体" w:cs="宋体"/>
          <w:kern w:val="0"/>
          <w:sz w:val="24"/>
        </w:rPr>
        <w:t>围绕着“</w:t>
      </w:r>
      <w:r>
        <w:rPr>
          <w:rFonts w:hint="eastAsia" w:ascii="宋体" w:hAnsi="宋体" w:cs="仿宋_GB2312"/>
          <w:kern w:val="0"/>
          <w:sz w:val="24"/>
        </w:rPr>
        <w:t>让每一颗种子茁壮成长</w:t>
      </w:r>
      <w:r>
        <w:rPr>
          <w:rFonts w:hint="eastAsia" w:ascii="宋体" w:hAnsi="宋体" w:cs="宋体"/>
          <w:kern w:val="0"/>
          <w:sz w:val="24"/>
        </w:rPr>
        <w:t>”这一办学理念，信守着“道法自然 品行方正”的育人目标，立足于学生与家长的需求，</w:t>
      </w:r>
      <w:r>
        <w:rPr>
          <w:rFonts w:hint="eastAsia" w:ascii="宋体" w:hAnsi="宋体" w:cs="宋体"/>
          <w:kern w:val="0"/>
          <w:sz w:val="24"/>
          <w:lang w:val="en-US" w:eastAsia="zh-CN"/>
        </w:rPr>
        <w:t>始终坚持致力于将</w:t>
      </w:r>
      <w:r>
        <w:rPr>
          <w:rFonts w:hint="eastAsia" w:ascii="宋体" w:hAnsi="宋体" w:cs="宋体"/>
          <w:kern w:val="0"/>
          <w:sz w:val="24"/>
        </w:rPr>
        <w:t>我校</w:t>
      </w:r>
      <w:r>
        <w:rPr>
          <w:rFonts w:hint="eastAsia" w:ascii="宋体" w:hAnsi="宋体" w:cs="宋体"/>
          <w:kern w:val="0"/>
          <w:sz w:val="24"/>
          <w:lang w:val="en-US" w:eastAsia="zh-CN"/>
        </w:rPr>
        <w:t>打造</w:t>
      </w:r>
      <w:r>
        <w:rPr>
          <w:rFonts w:hint="eastAsia" w:ascii="宋体" w:hAnsi="宋体" w:cs="宋体"/>
          <w:kern w:val="0"/>
          <w:sz w:val="24"/>
        </w:rPr>
        <w:t>成一所特色鲜明、具有一定影响力和美誉度的新优质农村学校。</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0D658"/>
    <w:multiLevelType w:val="singleLevel"/>
    <w:tmpl w:val="C9D0D658"/>
    <w:lvl w:ilvl="0" w:tentative="0">
      <w:start w:val="1"/>
      <w:numFmt w:val="decimal"/>
      <w:suff w:val="nothing"/>
      <w:lvlText w:val="（%1）"/>
      <w:lvlJc w:val="left"/>
    </w:lvl>
  </w:abstractNum>
  <w:abstractNum w:abstractNumId="1">
    <w:nsid w:val="DBBF8049"/>
    <w:multiLevelType w:val="singleLevel"/>
    <w:tmpl w:val="DBBF804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NTViYWIzZjY4YWY5NDNlZDJhNGY0OWY3MTIzMDgifQ=="/>
  </w:docVars>
  <w:rsids>
    <w:rsidRoot w:val="000575C4"/>
    <w:rsid w:val="00034E82"/>
    <w:rsid w:val="000510B4"/>
    <w:rsid w:val="000575C4"/>
    <w:rsid w:val="000E7E04"/>
    <w:rsid w:val="000F3610"/>
    <w:rsid w:val="0015414C"/>
    <w:rsid w:val="001A26AF"/>
    <w:rsid w:val="001D0FBD"/>
    <w:rsid w:val="001D22A9"/>
    <w:rsid w:val="001D31E4"/>
    <w:rsid w:val="001D500C"/>
    <w:rsid w:val="001E384C"/>
    <w:rsid w:val="0020048F"/>
    <w:rsid w:val="00210F78"/>
    <w:rsid w:val="00265829"/>
    <w:rsid w:val="002A2EF1"/>
    <w:rsid w:val="002B658D"/>
    <w:rsid w:val="002C48A6"/>
    <w:rsid w:val="002D1DFE"/>
    <w:rsid w:val="002F3C72"/>
    <w:rsid w:val="003118FF"/>
    <w:rsid w:val="00341C0E"/>
    <w:rsid w:val="00360E71"/>
    <w:rsid w:val="003709A8"/>
    <w:rsid w:val="003849A0"/>
    <w:rsid w:val="0039748B"/>
    <w:rsid w:val="003E2878"/>
    <w:rsid w:val="00425429"/>
    <w:rsid w:val="00451B4D"/>
    <w:rsid w:val="00492F5D"/>
    <w:rsid w:val="004975CD"/>
    <w:rsid w:val="004A3B2A"/>
    <w:rsid w:val="004A403A"/>
    <w:rsid w:val="004F465F"/>
    <w:rsid w:val="005042F6"/>
    <w:rsid w:val="0054199B"/>
    <w:rsid w:val="00595FE4"/>
    <w:rsid w:val="005E3C9F"/>
    <w:rsid w:val="0063449C"/>
    <w:rsid w:val="0063608B"/>
    <w:rsid w:val="006457CD"/>
    <w:rsid w:val="00655846"/>
    <w:rsid w:val="00694F7A"/>
    <w:rsid w:val="006A003F"/>
    <w:rsid w:val="006A502C"/>
    <w:rsid w:val="00701C2D"/>
    <w:rsid w:val="00743F6C"/>
    <w:rsid w:val="007605E2"/>
    <w:rsid w:val="007935FE"/>
    <w:rsid w:val="007939C2"/>
    <w:rsid w:val="007A45A2"/>
    <w:rsid w:val="007E21CA"/>
    <w:rsid w:val="00823B4A"/>
    <w:rsid w:val="00874781"/>
    <w:rsid w:val="00880D9C"/>
    <w:rsid w:val="0088568D"/>
    <w:rsid w:val="00892662"/>
    <w:rsid w:val="008D20A1"/>
    <w:rsid w:val="008F774E"/>
    <w:rsid w:val="009027F3"/>
    <w:rsid w:val="0090717A"/>
    <w:rsid w:val="00946E85"/>
    <w:rsid w:val="00981A5C"/>
    <w:rsid w:val="00981EBF"/>
    <w:rsid w:val="0098750F"/>
    <w:rsid w:val="00995C5B"/>
    <w:rsid w:val="009C4B2B"/>
    <w:rsid w:val="009D7104"/>
    <w:rsid w:val="009E4E05"/>
    <w:rsid w:val="00A43A39"/>
    <w:rsid w:val="00AA363A"/>
    <w:rsid w:val="00B02205"/>
    <w:rsid w:val="00B13DEA"/>
    <w:rsid w:val="00B20F95"/>
    <w:rsid w:val="00B530F9"/>
    <w:rsid w:val="00B53681"/>
    <w:rsid w:val="00BB1FDD"/>
    <w:rsid w:val="00C06499"/>
    <w:rsid w:val="00C16C62"/>
    <w:rsid w:val="00C32F95"/>
    <w:rsid w:val="00C33FC5"/>
    <w:rsid w:val="00C80D26"/>
    <w:rsid w:val="00C91EF9"/>
    <w:rsid w:val="00CD31CB"/>
    <w:rsid w:val="00CF279D"/>
    <w:rsid w:val="00D44F03"/>
    <w:rsid w:val="00D66472"/>
    <w:rsid w:val="00DB4C6D"/>
    <w:rsid w:val="00EC6B9B"/>
    <w:rsid w:val="00EF2342"/>
    <w:rsid w:val="00F251D6"/>
    <w:rsid w:val="00F26612"/>
    <w:rsid w:val="00F65613"/>
    <w:rsid w:val="00F80854"/>
    <w:rsid w:val="00F8523B"/>
    <w:rsid w:val="00FA1653"/>
    <w:rsid w:val="00FA6B4C"/>
    <w:rsid w:val="00FA718F"/>
    <w:rsid w:val="00FA7339"/>
    <w:rsid w:val="00FF0B66"/>
    <w:rsid w:val="033F565F"/>
    <w:rsid w:val="05A940FF"/>
    <w:rsid w:val="12B359B1"/>
    <w:rsid w:val="18317671"/>
    <w:rsid w:val="1B6408AA"/>
    <w:rsid w:val="1C8C4C46"/>
    <w:rsid w:val="2DEB6CBF"/>
    <w:rsid w:val="387A34D1"/>
    <w:rsid w:val="3F273214"/>
    <w:rsid w:val="4FE70E93"/>
    <w:rsid w:val="51EC0952"/>
    <w:rsid w:val="53536B8F"/>
    <w:rsid w:val="64E730A3"/>
    <w:rsid w:val="654E0F90"/>
    <w:rsid w:val="68927B0C"/>
    <w:rsid w:val="6FC30310"/>
    <w:rsid w:val="6FFA49B4"/>
    <w:rsid w:val="E85F1E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jc w:val="center"/>
      <w:outlineLvl w:val="0"/>
    </w:pPr>
    <w:rPr>
      <w:rFonts w:ascii="宋体" w:hAnsi="宋体"/>
      <w:b/>
      <w:bCs/>
      <w:kern w:val="44"/>
      <w:sz w:val="24"/>
    </w:rPr>
  </w:style>
  <w:style w:type="paragraph" w:styleId="3">
    <w:name w:val="heading 2"/>
    <w:basedOn w:val="1"/>
    <w:next w:val="1"/>
    <w:link w:val="15"/>
    <w:unhideWhenUsed/>
    <w:qFormat/>
    <w:uiPriority w:val="9"/>
    <w:pPr>
      <w:keepNext/>
      <w:keepLines/>
      <w:spacing w:before="260" w:after="260" w:line="416" w:lineRule="auto"/>
      <w:jc w:val="left"/>
      <w:outlineLvl w:val="1"/>
    </w:pPr>
    <w:rPr>
      <w:rFonts w:asciiTheme="majorHAnsi" w:hAnsiTheme="majorHAnsi" w:cstheme="majorBidi"/>
      <w:b/>
      <w:bCs/>
      <w:sz w:val="24"/>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8296"/>
      </w:tabs>
      <w:spacing w:line="520" w:lineRule="exact"/>
      <w:ind w:left="840" w:leftChars="4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pPr>
    <w:rPr>
      <w:rFonts w:ascii="宋体" w:hAnsi="宋体"/>
      <w:b/>
      <w:bCs/>
    </w:rPr>
  </w:style>
  <w:style w:type="paragraph" w:styleId="10">
    <w:name w:val="toc 2"/>
    <w:basedOn w:val="1"/>
    <w:next w:val="1"/>
    <w:unhideWhenUsed/>
    <w:qFormat/>
    <w:uiPriority w:val="39"/>
    <w:pPr>
      <w:tabs>
        <w:tab w:val="right" w:leader="dot" w:pos="8296"/>
      </w:tabs>
      <w:spacing w:line="520" w:lineRule="exact"/>
      <w:ind w:left="420" w:leftChars="200"/>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1 Char"/>
    <w:basedOn w:val="12"/>
    <w:link w:val="2"/>
    <w:qFormat/>
    <w:uiPriority w:val="9"/>
    <w:rPr>
      <w:rFonts w:ascii="宋体" w:hAnsi="宋体" w:eastAsia="宋体" w:cs="Times New Roman"/>
      <w:b/>
      <w:bCs/>
      <w:kern w:val="44"/>
      <w:sz w:val="24"/>
      <w:szCs w:val="24"/>
    </w:rPr>
  </w:style>
  <w:style w:type="character" w:customStyle="1" w:styleId="15">
    <w:name w:val="标题 2 Char"/>
    <w:basedOn w:val="12"/>
    <w:link w:val="3"/>
    <w:qFormat/>
    <w:uiPriority w:val="9"/>
    <w:rPr>
      <w:rFonts w:eastAsia="宋体" w:asciiTheme="majorHAnsi" w:hAnsiTheme="majorHAnsi" w:cstheme="majorBidi"/>
      <w:b/>
      <w:bCs/>
      <w:sz w:val="24"/>
      <w:szCs w:val="32"/>
    </w:rPr>
  </w:style>
  <w:style w:type="character" w:customStyle="1" w:styleId="16">
    <w:name w:val="标题 3 Char"/>
    <w:basedOn w:val="12"/>
    <w:link w:val="4"/>
    <w:qFormat/>
    <w:uiPriority w:val="9"/>
    <w:rPr>
      <w:rFonts w:ascii="Times New Roman" w:hAnsi="Times New Roman" w:eastAsia="宋体" w:cs="Times New Roman"/>
      <w:b/>
      <w:bCs/>
      <w:sz w:val="32"/>
      <w:szCs w:val="32"/>
    </w:rPr>
  </w:style>
  <w:style w:type="character" w:customStyle="1" w:styleId="17">
    <w:name w:val="页眉 Char"/>
    <w:basedOn w:val="12"/>
    <w:link w:val="8"/>
    <w:qFormat/>
    <w:uiPriority w:val="99"/>
    <w:rPr>
      <w:rFonts w:ascii="Times New Roman" w:hAnsi="Times New Roman" w:eastAsia="宋体" w:cs="Times New Roman"/>
      <w:kern w:val="2"/>
      <w:sz w:val="18"/>
      <w:szCs w:val="18"/>
    </w:rPr>
  </w:style>
  <w:style w:type="character" w:customStyle="1" w:styleId="18">
    <w:name w:val="页脚 Char"/>
    <w:basedOn w:val="12"/>
    <w:link w:val="7"/>
    <w:qFormat/>
    <w:uiPriority w:val="99"/>
    <w:rPr>
      <w:rFonts w:ascii="Times New Roman" w:hAnsi="Times New Roman" w:eastAsia="宋体" w:cs="Times New Roman"/>
      <w:kern w:val="2"/>
      <w:sz w:val="18"/>
      <w:szCs w:val="18"/>
    </w:rPr>
  </w:style>
  <w:style w:type="character" w:customStyle="1" w:styleId="19">
    <w:name w:val="批注框文本 Char"/>
    <w:basedOn w:val="12"/>
    <w:link w:val="6"/>
    <w:semiHidden/>
    <w:qFormat/>
    <w:uiPriority w:val="99"/>
    <w:rPr>
      <w:rFonts w:ascii="Times New Roman" w:hAnsi="Times New Roman" w:eastAsia="宋体" w:cs="Times New Roman"/>
      <w:kern w:val="2"/>
      <w:sz w:val="18"/>
      <w:szCs w:val="18"/>
    </w:rPr>
  </w:style>
  <w:style w:type="character" w:customStyle="1" w:styleId="20">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电脑公司</Company>
  <Pages>36</Pages>
  <Words>19311</Words>
  <Characters>19838</Characters>
  <Lines>178</Lines>
  <Paragraphs>50</Paragraphs>
  <TotalTime>23</TotalTime>
  <ScaleCrop>false</ScaleCrop>
  <LinksUpToDate>false</LinksUpToDate>
  <CharactersWithSpaces>20653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2021-08-27T08:31:00Z</dcterms:created>
  <dc:creator>ｓｙｗ</dc:creator>
  <cp:lastModifiedBy>jixiaocen</cp:lastModifiedBy>
  <dcterms:modified xsi:type="dcterms:W3CDTF">2022-08-28T09:51:22Z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5CE35F6308EB485B8D9B47C29E953A1F</vt:lpwstr>
  </property>
</Properties>
</file>